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EDCC8" w14:textId="6A16E547" w:rsidR="00BC0B0D" w:rsidRPr="009618E9" w:rsidRDefault="00ED6342" w:rsidP="00BC0B0D">
      <w:pPr>
        <w:rPr>
          <w:rFonts w:ascii="Gudea" w:hAnsi="Gudea"/>
          <w:lang w:val="en-GB"/>
        </w:rPr>
      </w:pPr>
      <w:r w:rsidRPr="009618E9">
        <w:rPr>
          <w:rFonts w:ascii="Gudea" w:hAnsi="Gudea"/>
          <w:noProof/>
          <w:lang w:val="en-GB"/>
        </w:rPr>
        <mc:AlternateContent>
          <mc:Choice Requires="wps">
            <w:drawing>
              <wp:anchor distT="45720" distB="45720" distL="114300" distR="114300" simplePos="0" relativeHeight="251660288" behindDoc="0" locked="0" layoutInCell="1" allowOverlap="1" wp14:anchorId="7FB981BC" wp14:editId="2CD9632B">
                <wp:simplePos x="0" y="0"/>
                <wp:positionH relativeFrom="column">
                  <wp:posOffset>165100</wp:posOffset>
                </wp:positionH>
                <wp:positionV relativeFrom="paragraph">
                  <wp:posOffset>2540</wp:posOffset>
                </wp:positionV>
                <wp:extent cx="6315075" cy="3829050"/>
                <wp:effectExtent l="0" t="0" r="0" b="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3829050"/>
                        </a:xfrm>
                        <a:prstGeom prst="rect">
                          <a:avLst/>
                        </a:prstGeom>
                        <a:noFill/>
                        <a:ln w="9525">
                          <a:noFill/>
                          <a:miter lim="800000"/>
                          <a:headEnd/>
                          <a:tailEnd/>
                        </a:ln>
                      </wps:spPr>
                      <wps:txbx>
                        <w:txbxContent>
                          <w:p w14:paraId="7CB776F6" w14:textId="2DAD3623" w:rsidR="003C7816" w:rsidRPr="00022147" w:rsidRDefault="0039119C" w:rsidP="00ED6342">
                            <w:pPr>
                              <w:rPr>
                                <w:rFonts w:ascii="Gudea" w:hAnsi="Gudea"/>
                                <w:color w:val="FFFFFF" w:themeColor="background1"/>
                                <w:sz w:val="56"/>
                                <w:szCs w:val="56"/>
                                <w:lang w:val="en-US"/>
                              </w:rPr>
                            </w:pPr>
                            <w:r>
                              <w:rPr>
                                <w:rFonts w:ascii="Gudea" w:hAnsi="Gudea"/>
                                <w:color w:val="FFFFFF" w:themeColor="background1"/>
                                <w:sz w:val="56"/>
                                <w:szCs w:val="56"/>
                                <w:lang w:val="en-US"/>
                              </w:rPr>
                              <w:t>Template</w:t>
                            </w:r>
                            <w:r w:rsidR="00170AD4" w:rsidRPr="00022147">
                              <w:rPr>
                                <w:rFonts w:ascii="Gudea" w:hAnsi="Gudea"/>
                                <w:color w:val="FFFFFF" w:themeColor="background1"/>
                                <w:sz w:val="56"/>
                                <w:szCs w:val="56"/>
                                <w:lang w:val="en-US"/>
                              </w:rPr>
                              <w:t xml:space="preserve"> for reporting on the</w:t>
                            </w:r>
                            <w:r>
                              <w:rPr>
                                <w:rFonts w:ascii="Gudea" w:hAnsi="Gudea"/>
                                <w:color w:val="FFFFFF" w:themeColor="background1"/>
                                <w:sz w:val="56"/>
                                <w:szCs w:val="56"/>
                                <w:lang w:val="en-US"/>
                              </w:rPr>
                              <w:t xml:space="preserve"> Danish</w:t>
                            </w:r>
                            <w:r w:rsidR="00170AD4" w:rsidRPr="00022147">
                              <w:rPr>
                                <w:rFonts w:ascii="Gudea" w:hAnsi="Gudea"/>
                                <w:color w:val="FFFFFF" w:themeColor="background1"/>
                                <w:sz w:val="56"/>
                                <w:szCs w:val="56"/>
                                <w:lang w:val="en-US"/>
                              </w:rPr>
                              <w:t xml:space="preserve"> </w:t>
                            </w:r>
                            <w:r>
                              <w:rPr>
                                <w:rFonts w:ascii="Gudea" w:hAnsi="Gudea"/>
                                <w:color w:val="FFFFFF" w:themeColor="background1"/>
                                <w:sz w:val="56"/>
                                <w:szCs w:val="56"/>
                                <w:lang w:val="en-US"/>
                              </w:rPr>
                              <w:t>R</w:t>
                            </w:r>
                            <w:r w:rsidR="00170AD4" w:rsidRPr="00022147">
                              <w:rPr>
                                <w:rFonts w:ascii="Gudea" w:hAnsi="Gudea"/>
                                <w:color w:val="FFFFFF" w:themeColor="background1"/>
                                <w:sz w:val="56"/>
                                <w:szCs w:val="56"/>
                                <w:lang w:val="en-US"/>
                              </w:rPr>
                              <w:t xml:space="preserve">ecommendations on </w:t>
                            </w:r>
                            <w:r>
                              <w:rPr>
                                <w:rFonts w:ascii="Gudea" w:hAnsi="Gudea"/>
                                <w:color w:val="FFFFFF" w:themeColor="background1"/>
                                <w:sz w:val="56"/>
                                <w:szCs w:val="56"/>
                                <w:lang w:val="en-US"/>
                              </w:rPr>
                              <w:t>C</w:t>
                            </w:r>
                            <w:r w:rsidR="00170AD4" w:rsidRPr="00022147">
                              <w:rPr>
                                <w:rFonts w:ascii="Gudea" w:hAnsi="Gudea"/>
                                <w:color w:val="FFFFFF" w:themeColor="background1"/>
                                <w:sz w:val="56"/>
                                <w:szCs w:val="56"/>
                                <w:lang w:val="en-US"/>
                              </w:rPr>
                              <w:t xml:space="preserve">orporate </w:t>
                            </w:r>
                            <w:r>
                              <w:rPr>
                                <w:rFonts w:ascii="Gudea" w:hAnsi="Gudea"/>
                                <w:color w:val="FFFFFF" w:themeColor="background1"/>
                                <w:sz w:val="56"/>
                                <w:szCs w:val="56"/>
                                <w:lang w:val="en-US"/>
                              </w:rPr>
                              <w:t>G</w:t>
                            </w:r>
                            <w:r w:rsidR="00170AD4" w:rsidRPr="00022147">
                              <w:rPr>
                                <w:rFonts w:ascii="Gudea" w:hAnsi="Gudea"/>
                                <w:color w:val="FFFFFF" w:themeColor="background1"/>
                                <w:sz w:val="56"/>
                                <w:szCs w:val="56"/>
                                <w:lang w:val="en-US"/>
                              </w:rPr>
                              <w:t>overnance</w:t>
                            </w:r>
                            <w:r w:rsidR="003C7816" w:rsidRPr="00022147">
                              <w:rPr>
                                <w:rFonts w:ascii="Gudea" w:hAnsi="Gudea"/>
                                <w:color w:val="FFFFFF" w:themeColor="background1"/>
                                <w:sz w:val="56"/>
                                <w:szCs w:val="56"/>
                                <w:lang w:val="en-US"/>
                              </w:rPr>
                              <w:t xml:space="preserve">, </w:t>
                            </w:r>
                            <w:r w:rsidR="00170AD4">
                              <w:rPr>
                                <w:rFonts w:ascii="Gudea" w:hAnsi="Gudea"/>
                                <w:color w:val="FFFFFF" w:themeColor="background1"/>
                                <w:sz w:val="56"/>
                                <w:szCs w:val="56"/>
                                <w:lang w:val="en-US"/>
                              </w:rPr>
                              <w:t>D</w:t>
                            </w:r>
                            <w:r w:rsidR="003C7816" w:rsidRPr="00022147">
                              <w:rPr>
                                <w:rFonts w:ascii="Gudea" w:hAnsi="Gudea"/>
                                <w:color w:val="FFFFFF" w:themeColor="background1"/>
                                <w:sz w:val="56"/>
                                <w:szCs w:val="56"/>
                                <w:lang w:val="en-US"/>
                              </w:rPr>
                              <w:t>ecember 2020</w:t>
                            </w:r>
                          </w:p>
                          <w:p w14:paraId="49043B22" w14:textId="77777777" w:rsidR="003C7816" w:rsidRPr="00022147" w:rsidRDefault="003C7816" w:rsidP="00ED6342">
                            <w:pPr>
                              <w:rPr>
                                <w:rFonts w:ascii="Gudea" w:hAnsi="Gudea"/>
                                <w:i/>
                                <w:iCs/>
                                <w:sz w:val="96"/>
                                <w:szCs w:val="96"/>
                                <w:lang w:val="en-US"/>
                              </w:rPr>
                            </w:pPr>
                          </w:p>
                          <w:p w14:paraId="645E06A5" w14:textId="45D65DB6" w:rsidR="003C7816" w:rsidRPr="00022147" w:rsidRDefault="003C7816" w:rsidP="00084247">
                            <w:pPr>
                              <w:pStyle w:val="Sidefod"/>
                              <w:ind w:right="360"/>
                              <w:rPr>
                                <w:rFonts w:ascii="Verdana" w:hAnsi="Verdana"/>
                                <w:sz w:val="20"/>
                                <w:lang w:val="en-US"/>
                              </w:rPr>
                            </w:pPr>
                            <w:r w:rsidRPr="00022147">
                              <w:rPr>
                                <w:rFonts w:ascii="Gudea" w:hAnsi="Gudea"/>
                                <w:i/>
                                <w:iCs/>
                                <w:color w:val="FFFFFF" w:themeColor="background1"/>
                                <w:sz w:val="96"/>
                                <w:szCs w:val="96"/>
                                <w:lang w:val="en-US"/>
                              </w:rPr>
                              <w:t>[</w:t>
                            </w:r>
                            <w:r w:rsidR="00170AD4" w:rsidRPr="00022147">
                              <w:rPr>
                                <w:rFonts w:ascii="Gudea" w:hAnsi="Gudea"/>
                                <w:i/>
                                <w:iCs/>
                                <w:color w:val="FFFFFF" w:themeColor="background1"/>
                                <w:sz w:val="96"/>
                                <w:szCs w:val="96"/>
                                <w:lang w:val="en-US"/>
                              </w:rPr>
                              <w:t>Name of the company</w:t>
                            </w:r>
                            <w:r w:rsidRPr="00022147">
                              <w:rPr>
                                <w:rFonts w:ascii="Gudea" w:hAnsi="Gudea"/>
                                <w:i/>
                                <w:iCs/>
                                <w:color w:val="FFFFFF" w:themeColor="background1"/>
                                <w:sz w:val="96"/>
                                <w:szCs w:val="96"/>
                                <w:lang w:val="en-US"/>
                              </w:rPr>
                              <w:t>]</w:t>
                            </w:r>
                            <w:r w:rsidRPr="00022147">
                              <w:rPr>
                                <w:rFonts w:ascii="Gudea" w:hAnsi="Gudea"/>
                                <w:i/>
                                <w:iCs/>
                                <w:color w:val="FFFFFF" w:themeColor="background1"/>
                                <w:sz w:val="96"/>
                                <w:szCs w:val="96"/>
                                <w:lang w:val="en-US"/>
                              </w:rPr>
                              <w:br/>
                            </w:r>
                            <w:r w:rsidR="00D01827">
                              <w:rPr>
                                <w:rFonts w:ascii="Verdana" w:hAnsi="Verdana"/>
                                <w:color w:val="FFFFFF" w:themeColor="background1"/>
                                <w:sz w:val="20"/>
                                <w:lang w:val="en-US"/>
                              </w:rPr>
                              <w:t>Template</w:t>
                            </w:r>
                            <w:r w:rsidR="00170AD4" w:rsidRPr="00170AD4">
                              <w:rPr>
                                <w:rFonts w:ascii="Verdana" w:hAnsi="Verdana"/>
                                <w:color w:val="FFFFFF" w:themeColor="background1"/>
                                <w:sz w:val="20"/>
                                <w:lang w:val="en-US"/>
                              </w:rPr>
                              <w:t xml:space="preserve"> for reporting </w:t>
                            </w:r>
                            <w:r w:rsidRPr="00022147">
                              <w:rPr>
                                <w:rFonts w:ascii="Verdana" w:hAnsi="Verdana"/>
                                <w:color w:val="FFFFFF" w:themeColor="background1"/>
                                <w:sz w:val="20"/>
                                <w:lang w:val="en-US"/>
                              </w:rPr>
                              <w:t xml:space="preserve">– version </w:t>
                            </w:r>
                            <w:r w:rsidR="00170AD4" w:rsidRPr="00022147">
                              <w:rPr>
                                <w:rFonts w:ascii="Verdana" w:hAnsi="Verdana"/>
                                <w:color w:val="FFFFFF" w:themeColor="background1"/>
                                <w:sz w:val="20"/>
                                <w:lang w:val="en-US"/>
                              </w:rPr>
                              <w:t xml:space="preserve">of </w:t>
                            </w:r>
                            <w:r w:rsidR="00170AD4" w:rsidRPr="00170AD4">
                              <w:rPr>
                                <w:rFonts w:ascii="Verdana" w:hAnsi="Verdana"/>
                                <w:color w:val="FFFFFF" w:themeColor="background1"/>
                                <w:sz w:val="20"/>
                                <w:lang w:val="en-US"/>
                              </w:rPr>
                              <w:t>January</w:t>
                            </w:r>
                            <w:r w:rsidRPr="00022147">
                              <w:rPr>
                                <w:rFonts w:ascii="Verdana" w:hAnsi="Verdana"/>
                                <w:color w:val="FFFFFF" w:themeColor="background1"/>
                                <w:sz w:val="20"/>
                                <w:lang w:val="en-US"/>
                              </w:rPr>
                              <w:t xml:space="preserve"> 2021</w:t>
                            </w:r>
                          </w:p>
                          <w:p w14:paraId="0028A951" w14:textId="1612A559" w:rsidR="003C7816" w:rsidRPr="00022147" w:rsidRDefault="003C7816" w:rsidP="00ED6342">
                            <w:pPr>
                              <w:rPr>
                                <w:rFonts w:ascii="Gudea" w:hAnsi="Gudea"/>
                                <w:i/>
                                <w:iCs/>
                                <w:color w:val="FFFFFF" w:themeColor="background1"/>
                                <w:sz w:val="96"/>
                                <w:szCs w:val="96"/>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B981BC" id="_x0000_t202" coordsize="21600,21600" o:spt="202" path="m,l,21600r21600,l21600,xe">
                <v:stroke joinstyle="miter"/>
                <v:path gradientshapeok="t" o:connecttype="rect"/>
              </v:shapetype>
              <v:shape id="Tekstfelt 2" o:spid="_x0000_s1026" type="#_x0000_t202" style="position:absolute;margin-left:13pt;margin-top:.2pt;width:497.25pt;height:30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" filled="f" stroked="f">
                <v:textbox>
                  <w:txbxContent>
                    <w:p w14:paraId="7CB776F6" w14:textId="2DAD3623" w:rsidR="003C7816" w:rsidRPr="00022147" w:rsidRDefault="0039119C" w:rsidP="00ED6342">
                      <w:pPr>
                        <w:rPr>
                          <w:rFonts w:ascii="Gudea" w:hAnsi="Gudea"/>
                          <w:color w:val="FFFFFF" w:themeColor="background1"/>
                          <w:sz w:val="56"/>
                          <w:szCs w:val="56"/>
                          <w:lang w:val="en-US"/>
                        </w:rPr>
                      </w:pPr>
                      <w:r>
                        <w:rPr>
                          <w:rFonts w:ascii="Gudea" w:hAnsi="Gudea"/>
                          <w:color w:val="FFFFFF" w:themeColor="background1"/>
                          <w:sz w:val="56"/>
                          <w:szCs w:val="56"/>
                          <w:lang w:val="en-US"/>
                        </w:rPr>
                        <w:t>Template</w:t>
                      </w:r>
                      <w:r w:rsidR="00170AD4" w:rsidRPr="00022147">
                        <w:rPr>
                          <w:rFonts w:ascii="Gudea" w:hAnsi="Gudea"/>
                          <w:color w:val="FFFFFF" w:themeColor="background1"/>
                          <w:sz w:val="56"/>
                          <w:szCs w:val="56"/>
                          <w:lang w:val="en-US"/>
                        </w:rPr>
                        <w:t xml:space="preserve"> for reporting on the</w:t>
                      </w:r>
                      <w:r>
                        <w:rPr>
                          <w:rFonts w:ascii="Gudea" w:hAnsi="Gudea"/>
                          <w:color w:val="FFFFFF" w:themeColor="background1"/>
                          <w:sz w:val="56"/>
                          <w:szCs w:val="56"/>
                          <w:lang w:val="en-US"/>
                        </w:rPr>
                        <w:t xml:space="preserve"> Danish</w:t>
                      </w:r>
                      <w:r w:rsidR="00170AD4" w:rsidRPr="00022147">
                        <w:rPr>
                          <w:rFonts w:ascii="Gudea" w:hAnsi="Gudea"/>
                          <w:color w:val="FFFFFF" w:themeColor="background1"/>
                          <w:sz w:val="56"/>
                          <w:szCs w:val="56"/>
                          <w:lang w:val="en-US"/>
                        </w:rPr>
                        <w:t xml:space="preserve"> </w:t>
                      </w:r>
                      <w:r>
                        <w:rPr>
                          <w:rFonts w:ascii="Gudea" w:hAnsi="Gudea"/>
                          <w:color w:val="FFFFFF" w:themeColor="background1"/>
                          <w:sz w:val="56"/>
                          <w:szCs w:val="56"/>
                          <w:lang w:val="en-US"/>
                        </w:rPr>
                        <w:t>R</w:t>
                      </w:r>
                      <w:r w:rsidR="00170AD4" w:rsidRPr="00022147">
                        <w:rPr>
                          <w:rFonts w:ascii="Gudea" w:hAnsi="Gudea"/>
                          <w:color w:val="FFFFFF" w:themeColor="background1"/>
                          <w:sz w:val="56"/>
                          <w:szCs w:val="56"/>
                          <w:lang w:val="en-US"/>
                        </w:rPr>
                        <w:t xml:space="preserve">ecommendations on </w:t>
                      </w:r>
                      <w:r>
                        <w:rPr>
                          <w:rFonts w:ascii="Gudea" w:hAnsi="Gudea"/>
                          <w:color w:val="FFFFFF" w:themeColor="background1"/>
                          <w:sz w:val="56"/>
                          <w:szCs w:val="56"/>
                          <w:lang w:val="en-US"/>
                        </w:rPr>
                        <w:t>C</w:t>
                      </w:r>
                      <w:r w:rsidR="00170AD4" w:rsidRPr="00022147">
                        <w:rPr>
                          <w:rFonts w:ascii="Gudea" w:hAnsi="Gudea"/>
                          <w:color w:val="FFFFFF" w:themeColor="background1"/>
                          <w:sz w:val="56"/>
                          <w:szCs w:val="56"/>
                          <w:lang w:val="en-US"/>
                        </w:rPr>
                        <w:t xml:space="preserve">orporate </w:t>
                      </w:r>
                      <w:r>
                        <w:rPr>
                          <w:rFonts w:ascii="Gudea" w:hAnsi="Gudea"/>
                          <w:color w:val="FFFFFF" w:themeColor="background1"/>
                          <w:sz w:val="56"/>
                          <w:szCs w:val="56"/>
                          <w:lang w:val="en-US"/>
                        </w:rPr>
                        <w:t>G</w:t>
                      </w:r>
                      <w:r w:rsidR="00170AD4" w:rsidRPr="00022147">
                        <w:rPr>
                          <w:rFonts w:ascii="Gudea" w:hAnsi="Gudea"/>
                          <w:color w:val="FFFFFF" w:themeColor="background1"/>
                          <w:sz w:val="56"/>
                          <w:szCs w:val="56"/>
                          <w:lang w:val="en-US"/>
                        </w:rPr>
                        <w:t>overnance</w:t>
                      </w:r>
                      <w:r w:rsidR="003C7816" w:rsidRPr="00022147">
                        <w:rPr>
                          <w:rFonts w:ascii="Gudea" w:hAnsi="Gudea"/>
                          <w:color w:val="FFFFFF" w:themeColor="background1"/>
                          <w:sz w:val="56"/>
                          <w:szCs w:val="56"/>
                          <w:lang w:val="en-US"/>
                        </w:rPr>
                        <w:t xml:space="preserve">, </w:t>
                      </w:r>
                      <w:r w:rsidR="00170AD4">
                        <w:rPr>
                          <w:rFonts w:ascii="Gudea" w:hAnsi="Gudea"/>
                          <w:color w:val="FFFFFF" w:themeColor="background1"/>
                          <w:sz w:val="56"/>
                          <w:szCs w:val="56"/>
                          <w:lang w:val="en-US"/>
                        </w:rPr>
                        <w:t>D</w:t>
                      </w:r>
                      <w:r w:rsidR="003C7816" w:rsidRPr="00022147">
                        <w:rPr>
                          <w:rFonts w:ascii="Gudea" w:hAnsi="Gudea"/>
                          <w:color w:val="FFFFFF" w:themeColor="background1"/>
                          <w:sz w:val="56"/>
                          <w:szCs w:val="56"/>
                          <w:lang w:val="en-US"/>
                        </w:rPr>
                        <w:t>ecember 2020</w:t>
                      </w:r>
                    </w:p>
                    <w:p w14:paraId="49043B22" w14:textId="77777777" w:rsidR="003C7816" w:rsidRPr="00022147" w:rsidRDefault="003C7816" w:rsidP="00ED6342">
                      <w:pPr>
                        <w:rPr>
                          <w:rFonts w:ascii="Gudea" w:hAnsi="Gudea"/>
                          <w:i/>
                          <w:iCs/>
                          <w:sz w:val="96"/>
                          <w:szCs w:val="96"/>
                          <w:lang w:val="en-US"/>
                        </w:rPr>
                      </w:pPr>
                    </w:p>
                    <w:p w14:paraId="645E06A5" w14:textId="45D65DB6" w:rsidR="003C7816" w:rsidRPr="00022147" w:rsidRDefault="003C7816" w:rsidP="00084247">
                      <w:pPr>
                        <w:pStyle w:val="Sidefod"/>
                        <w:ind w:right="360"/>
                        <w:rPr>
                          <w:rFonts w:ascii="Verdana" w:hAnsi="Verdana"/>
                          <w:sz w:val="20"/>
                          <w:lang w:val="en-US"/>
                        </w:rPr>
                      </w:pPr>
                      <w:r w:rsidRPr="00022147">
                        <w:rPr>
                          <w:rFonts w:ascii="Gudea" w:hAnsi="Gudea"/>
                          <w:i/>
                          <w:iCs/>
                          <w:color w:val="FFFFFF" w:themeColor="background1"/>
                          <w:sz w:val="96"/>
                          <w:szCs w:val="96"/>
                          <w:lang w:val="en-US"/>
                        </w:rPr>
                        <w:t>[</w:t>
                      </w:r>
                      <w:r w:rsidR="00170AD4" w:rsidRPr="00022147">
                        <w:rPr>
                          <w:rFonts w:ascii="Gudea" w:hAnsi="Gudea"/>
                          <w:i/>
                          <w:iCs/>
                          <w:color w:val="FFFFFF" w:themeColor="background1"/>
                          <w:sz w:val="96"/>
                          <w:szCs w:val="96"/>
                          <w:lang w:val="en-US"/>
                        </w:rPr>
                        <w:t>Name of the company</w:t>
                      </w:r>
                      <w:r w:rsidRPr="00022147">
                        <w:rPr>
                          <w:rFonts w:ascii="Gudea" w:hAnsi="Gudea"/>
                          <w:i/>
                          <w:iCs/>
                          <w:color w:val="FFFFFF" w:themeColor="background1"/>
                          <w:sz w:val="96"/>
                          <w:szCs w:val="96"/>
                          <w:lang w:val="en-US"/>
                        </w:rPr>
                        <w:t>]</w:t>
                      </w:r>
                      <w:r w:rsidRPr="00022147">
                        <w:rPr>
                          <w:rFonts w:ascii="Gudea" w:hAnsi="Gudea"/>
                          <w:i/>
                          <w:iCs/>
                          <w:color w:val="FFFFFF" w:themeColor="background1"/>
                          <w:sz w:val="96"/>
                          <w:szCs w:val="96"/>
                          <w:lang w:val="en-US"/>
                        </w:rPr>
                        <w:br/>
                      </w:r>
                      <w:r w:rsidR="00D01827">
                        <w:rPr>
                          <w:rFonts w:ascii="Verdana" w:hAnsi="Verdana"/>
                          <w:color w:val="FFFFFF" w:themeColor="background1"/>
                          <w:sz w:val="20"/>
                          <w:lang w:val="en-US"/>
                        </w:rPr>
                        <w:t>Template</w:t>
                      </w:r>
                      <w:r w:rsidR="00170AD4" w:rsidRPr="00170AD4">
                        <w:rPr>
                          <w:rFonts w:ascii="Verdana" w:hAnsi="Verdana"/>
                          <w:color w:val="FFFFFF" w:themeColor="background1"/>
                          <w:sz w:val="20"/>
                          <w:lang w:val="en-US"/>
                        </w:rPr>
                        <w:t xml:space="preserve"> for reporting </w:t>
                      </w:r>
                      <w:r w:rsidRPr="00022147">
                        <w:rPr>
                          <w:rFonts w:ascii="Verdana" w:hAnsi="Verdana"/>
                          <w:color w:val="FFFFFF" w:themeColor="background1"/>
                          <w:sz w:val="20"/>
                          <w:lang w:val="en-US"/>
                        </w:rPr>
                        <w:t xml:space="preserve">– version </w:t>
                      </w:r>
                      <w:r w:rsidR="00170AD4" w:rsidRPr="00022147">
                        <w:rPr>
                          <w:rFonts w:ascii="Verdana" w:hAnsi="Verdana"/>
                          <w:color w:val="FFFFFF" w:themeColor="background1"/>
                          <w:sz w:val="20"/>
                          <w:lang w:val="en-US"/>
                        </w:rPr>
                        <w:t xml:space="preserve">of </w:t>
                      </w:r>
                      <w:r w:rsidR="00170AD4" w:rsidRPr="00170AD4">
                        <w:rPr>
                          <w:rFonts w:ascii="Verdana" w:hAnsi="Verdana"/>
                          <w:color w:val="FFFFFF" w:themeColor="background1"/>
                          <w:sz w:val="20"/>
                          <w:lang w:val="en-US"/>
                        </w:rPr>
                        <w:t>January</w:t>
                      </w:r>
                      <w:r w:rsidRPr="00022147">
                        <w:rPr>
                          <w:rFonts w:ascii="Verdana" w:hAnsi="Verdana"/>
                          <w:color w:val="FFFFFF" w:themeColor="background1"/>
                          <w:sz w:val="20"/>
                          <w:lang w:val="en-US"/>
                        </w:rPr>
                        <w:t xml:space="preserve"> 2021</w:t>
                      </w:r>
                    </w:p>
                    <w:p w14:paraId="0028A951" w14:textId="1612A559" w:rsidR="003C7816" w:rsidRPr="00022147" w:rsidRDefault="003C7816" w:rsidP="00ED6342">
                      <w:pPr>
                        <w:rPr>
                          <w:rFonts w:ascii="Gudea" w:hAnsi="Gudea"/>
                          <w:i/>
                          <w:iCs/>
                          <w:color w:val="FFFFFF" w:themeColor="background1"/>
                          <w:sz w:val="96"/>
                          <w:szCs w:val="96"/>
                          <w:lang w:val="en-US"/>
                        </w:rPr>
                      </w:pPr>
                    </w:p>
                  </w:txbxContent>
                </v:textbox>
                <w10:wrap type="square"/>
              </v:shape>
            </w:pict>
          </mc:Fallback>
        </mc:AlternateContent>
      </w:r>
      <w:r w:rsidRPr="009618E9">
        <w:rPr>
          <w:noProof/>
          <w:lang w:val="en-GB" w:bidi="th-TH"/>
        </w:rPr>
        <w:drawing>
          <wp:anchor distT="0" distB="0" distL="114300" distR="114300" simplePos="0" relativeHeight="251657215" behindDoc="1" locked="0" layoutInCell="1" allowOverlap="1" wp14:anchorId="363EDD05" wp14:editId="026233AF">
            <wp:simplePos x="0" y="0"/>
            <wp:positionH relativeFrom="page">
              <wp:align>right</wp:align>
            </wp:positionH>
            <wp:positionV relativeFrom="page">
              <wp:align>top</wp:align>
            </wp:positionV>
            <wp:extent cx="10687050" cy="756285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CORPORATE_GOVERNANCE_blue_frontpage_a4.png"/>
                    <pic:cNvPicPr/>
                  </pic:nvPicPr>
                  <pic:blipFill>
                    <a:blip r:embed="rId11" cstate="print">
                      <a:alphaModFix/>
                      <a:extLst>
                        <a:ext uri="{28A0092B-C50C-407E-A947-70E740481C1C}">
                          <a14:useLocalDpi xmlns:a14="http://schemas.microsoft.com/office/drawing/2010/main" val="0"/>
                        </a:ext>
                      </a:extLst>
                    </a:blip>
                    <a:stretch>
                      <a:fillRect/>
                    </a:stretch>
                  </pic:blipFill>
                  <pic:spPr>
                    <a:xfrm>
                      <a:off x="0" y="0"/>
                      <a:ext cx="10687050" cy="7562850"/>
                    </a:xfrm>
                    <a:prstGeom prst="rect">
                      <a:avLst/>
                    </a:prstGeom>
                  </pic:spPr>
                </pic:pic>
              </a:graphicData>
            </a:graphic>
            <wp14:sizeRelH relativeFrom="margin">
              <wp14:pctWidth>0</wp14:pctWidth>
            </wp14:sizeRelH>
            <wp14:sizeRelV relativeFrom="margin">
              <wp14:pctHeight>0</wp14:pctHeight>
            </wp14:sizeRelV>
          </wp:anchor>
        </w:drawing>
      </w:r>
    </w:p>
    <w:p w14:paraId="43EF7513" w14:textId="5E3FD4CA" w:rsidR="00CE2C74" w:rsidRPr="009618E9" w:rsidRDefault="00CE2C74" w:rsidP="00CE2C74">
      <w:pPr>
        <w:tabs>
          <w:tab w:val="left" w:pos="5220"/>
        </w:tabs>
        <w:rPr>
          <w:rFonts w:ascii="Gudea" w:hAnsi="Gudea"/>
          <w:sz w:val="48"/>
          <w:szCs w:val="48"/>
          <w:lang w:val="en-GB"/>
        </w:rPr>
      </w:pPr>
      <w:r w:rsidRPr="009618E9">
        <w:rPr>
          <w:rFonts w:ascii="Gudea" w:hAnsi="Gudea"/>
          <w:lang w:val="en-GB"/>
        </w:rPr>
        <w:tab/>
      </w:r>
    </w:p>
    <w:p w14:paraId="3B2FA706" w14:textId="33FA95C0" w:rsidR="00BE27B0" w:rsidRPr="009618E9" w:rsidRDefault="002744AF">
      <w:pPr>
        <w:rPr>
          <w:rFonts w:ascii="Gudea" w:hAnsi="Gudea"/>
          <w:lang w:val="en-GB"/>
        </w:rPr>
      </w:pPr>
      <w:r w:rsidRPr="009618E9">
        <w:rPr>
          <w:noProof/>
          <w:lang w:val="en-GB"/>
        </w:rPr>
        <w:drawing>
          <wp:anchor distT="0" distB="0" distL="114300" distR="114300" simplePos="0" relativeHeight="251663360" behindDoc="1" locked="0" layoutInCell="1" allowOverlap="1" wp14:anchorId="57EA85C6" wp14:editId="208509DD">
            <wp:simplePos x="0" y="0"/>
            <wp:positionH relativeFrom="column">
              <wp:posOffset>213360</wp:posOffset>
            </wp:positionH>
            <wp:positionV relativeFrom="paragraph">
              <wp:posOffset>4835525</wp:posOffset>
            </wp:positionV>
            <wp:extent cx="2340178" cy="828675"/>
            <wp:effectExtent l="0" t="0" r="3175"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40178"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BE27B0" w:rsidRPr="009618E9">
        <w:rPr>
          <w:rFonts w:ascii="Gudea" w:hAnsi="Gudea"/>
          <w:lang w:val="en-GB"/>
        </w:rPr>
        <w:br w:type="page"/>
      </w:r>
    </w:p>
    <w:p w14:paraId="79F36F40" w14:textId="403E478F" w:rsidR="00BE27B0" w:rsidRPr="009618E9" w:rsidRDefault="00170AD4" w:rsidP="00593A61">
      <w:pPr>
        <w:tabs>
          <w:tab w:val="left" w:pos="5220"/>
        </w:tabs>
        <w:jc w:val="both"/>
        <w:rPr>
          <w:rFonts w:ascii="Gudea" w:hAnsi="Gudea" w:cs="Arial"/>
          <w:b/>
          <w:bCs/>
          <w:color w:val="162D4C"/>
          <w:sz w:val="48"/>
          <w:szCs w:val="48"/>
          <w:lang w:val="en-GB"/>
        </w:rPr>
      </w:pPr>
      <w:r w:rsidRPr="009618E9">
        <w:rPr>
          <w:rFonts w:ascii="Gudea" w:hAnsi="Gudea" w:cs="Arial"/>
          <w:b/>
          <w:bCs/>
          <w:color w:val="162D4C"/>
          <w:sz w:val="48"/>
          <w:szCs w:val="48"/>
          <w:lang w:val="en-GB"/>
        </w:rPr>
        <w:lastRenderedPageBreak/>
        <w:t xml:space="preserve">What can the </w:t>
      </w:r>
      <w:r w:rsidR="0039119C" w:rsidRPr="009618E9">
        <w:rPr>
          <w:rFonts w:ascii="Gudea" w:hAnsi="Gudea" w:cs="Arial"/>
          <w:b/>
          <w:bCs/>
          <w:color w:val="162D4C"/>
          <w:sz w:val="48"/>
          <w:szCs w:val="48"/>
          <w:lang w:val="en-GB"/>
        </w:rPr>
        <w:t>template</w:t>
      </w:r>
      <w:r w:rsidRPr="009618E9">
        <w:rPr>
          <w:rFonts w:ascii="Gudea" w:hAnsi="Gudea" w:cs="Arial"/>
          <w:b/>
          <w:bCs/>
          <w:color w:val="162D4C"/>
          <w:sz w:val="48"/>
          <w:szCs w:val="48"/>
          <w:lang w:val="en-GB"/>
        </w:rPr>
        <w:t xml:space="preserve"> be used for</w:t>
      </w:r>
      <w:r w:rsidR="00BE27B0" w:rsidRPr="009618E9">
        <w:rPr>
          <w:rFonts w:ascii="Gudea" w:hAnsi="Gudea" w:cs="Arial"/>
          <w:b/>
          <w:bCs/>
          <w:color w:val="162D4C"/>
          <w:sz w:val="48"/>
          <w:szCs w:val="48"/>
          <w:lang w:val="en-GB"/>
        </w:rPr>
        <w:t>?</w:t>
      </w:r>
    </w:p>
    <w:p w14:paraId="173C9108" w14:textId="77777777" w:rsidR="00BE27B0" w:rsidRPr="009618E9" w:rsidRDefault="00BE27B0" w:rsidP="00593A61">
      <w:pPr>
        <w:tabs>
          <w:tab w:val="left" w:pos="5220"/>
        </w:tabs>
        <w:jc w:val="both"/>
        <w:rPr>
          <w:rFonts w:cs="Arial"/>
          <w:color w:val="162D4C"/>
          <w:sz w:val="22"/>
          <w:szCs w:val="22"/>
          <w:lang w:val="en-GB"/>
        </w:rPr>
      </w:pPr>
    </w:p>
    <w:p w14:paraId="44151ACC" w14:textId="304C163C" w:rsidR="00170AD4" w:rsidRPr="009618E9" w:rsidRDefault="00170AD4" w:rsidP="00593A61">
      <w:pPr>
        <w:tabs>
          <w:tab w:val="left" w:pos="5220"/>
        </w:tabs>
        <w:jc w:val="both"/>
        <w:rPr>
          <w:rFonts w:ascii="Gudea" w:hAnsi="Gudea" w:cs="Arial"/>
          <w:color w:val="162D4C"/>
          <w:szCs w:val="24"/>
          <w:lang w:val="en-GB"/>
        </w:rPr>
      </w:pPr>
      <w:r w:rsidRPr="009618E9">
        <w:rPr>
          <w:rFonts w:ascii="Gudea" w:hAnsi="Gudea" w:cs="Arial"/>
          <w:color w:val="162D4C"/>
          <w:szCs w:val="24"/>
          <w:lang w:val="en-GB"/>
        </w:rPr>
        <w:t xml:space="preserve">This </w:t>
      </w:r>
      <w:r w:rsidR="0039119C" w:rsidRPr="009618E9">
        <w:rPr>
          <w:rFonts w:ascii="Gudea" w:hAnsi="Gudea" w:cs="Arial"/>
          <w:color w:val="162D4C"/>
          <w:szCs w:val="24"/>
          <w:lang w:val="en-GB"/>
        </w:rPr>
        <w:t>template</w:t>
      </w:r>
      <w:r w:rsidRPr="009618E9">
        <w:rPr>
          <w:rFonts w:ascii="Gudea" w:hAnsi="Gudea" w:cs="Arial"/>
          <w:color w:val="162D4C"/>
          <w:szCs w:val="24"/>
          <w:lang w:val="en-GB"/>
        </w:rPr>
        <w:t xml:space="preserve"> is meant as a tool for Danish companies with shares admitted to trading on a regulated market who wish to report on the company’s compliance with the recommendations on corporate governance in a standard reporting format.</w:t>
      </w:r>
    </w:p>
    <w:p w14:paraId="06D1B4F0" w14:textId="36170260" w:rsidR="00462FAF" w:rsidRPr="009618E9" w:rsidRDefault="00462FAF" w:rsidP="00593A61">
      <w:pPr>
        <w:tabs>
          <w:tab w:val="left" w:pos="5220"/>
        </w:tabs>
        <w:jc w:val="both"/>
        <w:rPr>
          <w:rFonts w:ascii="Gudea" w:hAnsi="Gudea" w:cs="Arial"/>
          <w:color w:val="162D4C"/>
          <w:szCs w:val="24"/>
          <w:lang w:val="en-GB"/>
        </w:rPr>
      </w:pPr>
    </w:p>
    <w:p w14:paraId="286E9CE8" w14:textId="0F0BD98C" w:rsidR="003413CD" w:rsidRPr="009618E9" w:rsidRDefault="003A0719" w:rsidP="00593A61">
      <w:pPr>
        <w:tabs>
          <w:tab w:val="left" w:pos="5220"/>
        </w:tabs>
        <w:jc w:val="both"/>
        <w:rPr>
          <w:rFonts w:ascii="Gudea" w:hAnsi="Gudea" w:cs="Arial"/>
          <w:color w:val="162D4C"/>
          <w:szCs w:val="24"/>
          <w:lang w:val="en-GB"/>
        </w:rPr>
      </w:pPr>
      <w:r w:rsidRPr="009618E9">
        <w:rPr>
          <w:rFonts w:ascii="Gudea" w:hAnsi="Gudea" w:cs="Arial"/>
          <w:color w:val="162D4C"/>
          <w:szCs w:val="24"/>
          <w:lang w:val="en-GB"/>
        </w:rPr>
        <w:t xml:space="preserve">Companies </w:t>
      </w:r>
      <w:r w:rsidR="007E18AB" w:rsidRPr="009618E9">
        <w:rPr>
          <w:rFonts w:ascii="Gudea" w:hAnsi="Gudea" w:cs="Arial"/>
          <w:color w:val="162D4C"/>
          <w:szCs w:val="24"/>
          <w:lang w:val="en-GB"/>
        </w:rPr>
        <w:t>shall</w:t>
      </w:r>
      <w:r w:rsidRPr="009618E9">
        <w:rPr>
          <w:rFonts w:ascii="Gudea" w:hAnsi="Gudea" w:cs="Arial"/>
          <w:color w:val="162D4C"/>
          <w:szCs w:val="24"/>
          <w:lang w:val="en-GB"/>
        </w:rPr>
        <w:t xml:space="preserve"> not consider compliance with the introductory</w:t>
      </w:r>
      <w:r w:rsidR="003413CD" w:rsidRPr="009618E9">
        <w:rPr>
          <w:rFonts w:ascii="Gudea" w:hAnsi="Gudea" w:cs="Arial"/>
          <w:color w:val="162D4C"/>
          <w:szCs w:val="24"/>
          <w:lang w:val="en-GB"/>
        </w:rPr>
        <w:t xml:space="preserve"> principles. The principles seek to explain general reflections which companies may take into account when assessing which approach to take in respect of the individual recommendations under each section. The Committee’s </w:t>
      </w:r>
      <w:r w:rsidRPr="009618E9">
        <w:rPr>
          <w:rFonts w:ascii="Gudea" w:hAnsi="Gudea" w:cs="Arial"/>
          <w:color w:val="162D4C"/>
          <w:szCs w:val="24"/>
          <w:lang w:val="en-GB"/>
        </w:rPr>
        <w:t>explanatory notes provided under some of the recommendations</w:t>
      </w:r>
      <w:r w:rsidR="003413CD" w:rsidRPr="009618E9">
        <w:rPr>
          <w:rFonts w:ascii="Gudea" w:hAnsi="Gudea" w:cs="Arial"/>
          <w:color w:val="162D4C"/>
          <w:szCs w:val="24"/>
          <w:lang w:val="en-GB"/>
        </w:rPr>
        <w:t xml:space="preserve"> may be included as guidelines and inspiration for companies in </w:t>
      </w:r>
      <w:r w:rsidRPr="009618E9">
        <w:rPr>
          <w:rFonts w:ascii="Gudea" w:hAnsi="Gudea" w:cs="Arial"/>
          <w:color w:val="162D4C"/>
          <w:szCs w:val="24"/>
          <w:lang w:val="en-GB"/>
        </w:rPr>
        <w:t>implementing</w:t>
      </w:r>
      <w:r w:rsidR="003413CD" w:rsidRPr="009618E9">
        <w:rPr>
          <w:rFonts w:ascii="Gudea" w:hAnsi="Gudea" w:cs="Arial"/>
          <w:color w:val="162D4C"/>
          <w:szCs w:val="24"/>
          <w:lang w:val="en-GB"/>
        </w:rPr>
        <w:t xml:space="preserve"> the recommendations. In this connection the </w:t>
      </w:r>
      <w:r w:rsidRPr="009618E9">
        <w:rPr>
          <w:rFonts w:ascii="Gudea" w:hAnsi="Gudea" w:cs="Arial"/>
          <w:color w:val="162D4C"/>
          <w:szCs w:val="24"/>
          <w:lang w:val="en-GB"/>
        </w:rPr>
        <w:t>explanatory notes</w:t>
      </w:r>
      <w:r w:rsidR="003413CD" w:rsidRPr="009618E9">
        <w:rPr>
          <w:rFonts w:ascii="Gudea" w:hAnsi="Gudea" w:cs="Arial"/>
          <w:color w:val="162D4C"/>
          <w:szCs w:val="24"/>
          <w:lang w:val="en-GB"/>
        </w:rPr>
        <w:t xml:space="preserve"> are meant as a tool. Reporting </w:t>
      </w:r>
      <w:r w:rsidR="001366E9" w:rsidRPr="009618E9">
        <w:rPr>
          <w:rFonts w:ascii="Gudea" w:hAnsi="Gudea" w:cs="Arial"/>
          <w:color w:val="162D4C"/>
          <w:szCs w:val="24"/>
          <w:lang w:val="en-GB"/>
        </w:rPr>
        <w:t>on the</w:t>
      </w:r>
      <w:r w:rsidR="00EE0830" w:rsidRPr="009618E9">
        <w:rPr>
          <w:rFonts w:ascii="Gudea" w:hAnsi="Gudea" w:cs="Arial"/>
          <w:color w:val="162D4C"/>
          <w:szCs w:val="24"/>
          <w:lang w:val="en-GB"/>
        </w:rPr>
        <w:t xml:space="preserve"> Danish</w:t>
      </w:r>
      <w:r w:rsidR="001366E9" w:rsidRPr="009618E9">
        <w:rPr>
          <w:rFonts w:ascii="Gudea" w:hAnsi="Gudea" w:cs="Arial"/>
          <w:color w:val="162D4C"/>
          <w:szCs w:val="24"/>
          <w:lang w:val="en-GB"/>
        </w:rPr>
        <w:t xml:space="preserve"> Committee´s Recommendations on Corporate Governance must be made in relation to the recommendations – and not the principles or explanatory notes.  </w:t>
      </w:r>
    </w:p>
    <w:p w14:paraId="3AE72944" w14:textId="77777777" w:rsidR="00084247" w:rsidRPr="009618E9" w:rsidRDefault="00084247" w:rsidP="00593A61">
      <w:pPr>
        <w:jc w:val="both"/>
        <w:rPr>
          <w:rFonts w:ascii="Gudea" w:hAnsi="Gudea" w:cs="Arial"/>
          <w:color w:val="162D4C"/>
          <w:szCs w:val="24"/>
          <w:lang w:val="en-GB"/>
        </w:rPr>
      </w:pPr>
    </w:p>
    <w:p w14:paraId="21D36595" w14:textId="3BE5B1CF" w:rsidR="001366E9" w:rsidRPr="009618E9" w:rsidRDefault="001366E9" w:rsidP="001366E9">
      <w:pPr>
        <w:jc w:val="both"/>
        <w:rPr>
          <w:rFonts w:ascii="Gudea" w:hAnsi="Gudea" w:cs="Arial"/>
          <w:color w:val="162D4C"/>
          <w:szCs w:val="24"/>
          <w:lang w:val="en-GB"/>
        </w:rPr>
      </w:pPr>
      <w:r w:rsidRPr="009618E9">
        <w:rPr>
          <w:rFonts w:ascii="Gudea" w:hAnsi="Gudea" w:cs="Arial"/>
          <w:color w:val="162D4C"/>
          <w:szCs w:val="24"/>
          <w:lang w:val="en-GB"/>
        </w:rPr>
        <w:t>The report on corporate governance must be published as either part of the management commentary on the annual report or on the company’s website with exact reference to the management commentary. The Committee believes that publication of the corporate governance report on the company’s website - with exact reference to the report in the management commentary - creates the highest degree of transparency. Publication of the report on the company’s website provides easier access for investors and other stakeholders.</w:t>
      </w:r>
    </w:p>
    <w:p w14:paraId="792E5A38" w14:textId="77777777" w:rsidR="001366E9" w:rsidRPr="009618E9" w:rsidRDefault="001366E9" w:rsidP="00593A61">
      <w:pPr>
        <w:jc w:val="both"/>
        <w:rPr>
          <w:rFonts w:ascii="Gudea" w:hAnsi="Gudea" w:cs="Arial"/>
          <w:color w:val="162D4C"/>
          <w:szCs w:val="24"/>
          <w:lang w:val="en-GB"/>
        </w:rPr>
      </w:pPr>
    </w:p>
    <w:p w14:paraId="7D26EC41" w14:textId="300C76FF" w:rsidR="00084247" w:rsidRPr="009618E9" w:rsidRDefault="001366E9" w:rsidP="00593A61">
      <w:pPr>
        <w:jc w:val="both"/>
        <w:rPr>
          <w:rFonts w:ascii="Gudea" w:hAnsi="Gudea" w:cs="Arial"/>
          <w:color w:val="162D4C"/>
          <w:szCs w:val="24"/>
          <w:lang w:val="en-GB"/>
        </w:rPr>
      </w:pPr>
      <w:r w:rsidRPr="009618E9">
        <w:rPr>
          <w:rFonts w:ascii="Gudea" w:hAnsi="Gudea" w:cs="Arial"/>
          <w:color w:val="162D4C"/>
          <w:szCs w:val="24"/>
          <w:lang w:val="en-GB"/>
        </w:rPr>
        <w:t>Under the</w:t>
      </w:r>
      <w:r w:rsidR="00CF7491" w:rsidRPr="009618E9">
        <w:rPr>
          <w:rFonts w:ascii="Gudea" w:hAnsi="Gudea" w:cs="Arial"/>
          <w:color w:val="162D4C"/>
          <w:szCs w:val="24"/>
          <w:lang w:val="en-GB"/>
        </w:rPr>
        <w:t xml:space="preserve"> Danish</w:t>
      </w:r>
      <w:r w:rsidRPr="009618E9">
        <w:rPr>
          <w:rFonts w:ascii="Gudea" w:hAnsi="Gudea" w:cs="Arial"/>
          <w:color w:val="162D4C"/>
          <w:szCs w:val="24"/>
          <w:lang w:val="en-GB"/>
        </w:rPr>
        <w:t xml:space="preserve"> Financial Statements Act a publication on the company’s website requires that the URL address – where the corporate governance report is published – is stated in the management commentary in the annual report. The URL address must be the internet address which can be used to access the report </w:t>
      </w:r>
      <w:r w:rsidRPr="009618E9">
        <w:rPr>
          <w:rFonts w:ascii="Gudea" w:hAnsi="Gudea" w:cs="Arial"/>
          <w:b/>
          <w:bCs/>
          <w:color w:val="162D4C"/>
          <w:szCs w:val="24"/>
          <w:lang w:val="en-GB"/>
        </w:rPr>
        <w:t>directly</w:t>
      </w:r>
      <w:r w:rsidRPr="009618E9">
        <w:rPr>
          <w:rFonts w:ascii="Gudea" w:hAnsi="Gudea" w:cs="Arial"/>
          <w:color w:val="162D4C"/>
          <w:szCs w:val="24"/>
          <w:lang w:val="en-GB"/>
        </w:rPr>
        <w:t>.</w:t>
      </w:r>
    </w:p>
    <w:p w14:paraId="44AB8DF6" w14:textId="56D00D2F" w:rsidR="001366E9" w:rsidRPr="009618E9" w:rsidRDefault="001366E9" w:rsidP="00521C6F">
      <w:pPr>
        <w:jc w:val="both"/>
        <w:rPr>
          <w:rFonts w:ascii="Gudea" w:hAnsi="Gudea" w:cs="Arial"/>
          <w:color w:val="162D4C"/>
          <w:szCs w:val="24"/>
          <w:lang w:val="en-GB"/>
        </w:rPr>
      </w:pPr>
    </w:p>
    <w:p w14:paraId="24383A7C" w14:textId="54A599F6" w:rsidR="001366E9" w:rsidRPr="009618E9" w:rsidRDefault="001366E9" w:rsidP="00521C6F">
      <w:pPr>
        <w:jc w:val="both"/>
        <w:rPr>
          <w:rFonts w:ascii="Gudea" w:hAnsi="Gudea" w:cs="Arial"/>
          <w:color w:val="162D4C"/>
          <w:szCs w:val="24"/>
          <w:lang w:val="en-GB"/>
        </w:rPr>
      </w:pPr>
      <w:r w:rsidRPr="009618E9">
        <w:rPr>
          <w:rFonts w:ascii="Gudea" w:hAnsi="Gudea" w:cs="Arial"/>
          <w:color w:val="162D4C"/>
          <w:szCs w:val="24"/>
          <w:lang w:val="en-GB"/>
        </w:rPr>
        <w:t>There are further requirements to the preparation of the report on corporate governance and how it is to be published. The detailed requirements are described in Executive order no. 959 of 13 September 2019</w:t>
      </w:r>
      <w:r w:rsidR="0066390B" w:rsidRPr="009618E9">
        <w:rPr>
          <w:rFonts w:ascii="Gudea" w:hAnsi="Gudea" w:cs="Arial"/>
          <w:color w:val="162D4C"/>
          <w:szCs w:val="24"/>
          <w:lang w:val="en-GB"/>
        </w:rPr>
        <w:t xml:space="preserve"> </w:t>
      </w:r>
      <w:r w:rsidRPr="009618E9">
        <w:rPr>
          <w:rFonts w:ascii="Gudea" w:hAnsi="Gudea" w:cs="Arial"/>
          <w:color w:val="162D4C"/>
          <w:szCs w:val="24"/>
          <w:lang w:val="en-GB"/>
        </w:rPr>
        <w:t>on Publication of Reports pursuant to the</w:t>
      </w:r>
      <w:r w:rsidR="00CF7491" w:rsidRPr="009618E9">
        <w:rPr>
          <w:rFonts w:ascii="Gudea" w:hAnsi="Gudea" w:cs="Arial"/>
          <w:color w:val="162D4C"/>
          <w:szCs w:val="24"/>
          <w:lang w:val="en-GB"/>
        </w:rPr>
        <w:t xml:space="preserve"> Danish</w:t>
      </w:r>
      <w:r w:rsidRPr="009618E9">
        <w:rPr>
          <w:rFonts w:ascii="Gudea" w:hAnsi="Gudea" w:cs="Arial"/>
          <w:color w:val="162D4C"/>
          <w:szCs w:val="24"/>
          <w:lang w:val="en-GB"/>
        </w:rPr>
        <w:t xml:space="preserve"> Financial Statements Act.</w:t>
      </w:r>
    </w:p>
    <w:p w14:paraId="73966A8C" w14:textId="77777777" w:rsidR="00084247" w:rsidRPr="009618E9" w:rsidRDefault="00084247" w:rsidP="00593A61">
      <w:pPr>
        <w:tabs>
          <w:tab w:val="left" w:pos="5220"/>
        </w:tabs>
        <w:jc w:val="both"/>
        <w:rPr>
          <w:rFonts w:ascii="Gudea" w:hAnsi="Gudea" w:cs="Arial"/>
          <w:color w:val="162D4C"/>
          <w:szCs w:val="24"/>
          <w:lang w:val="en-GB"/>
        </w:rPr>
      </w:pPr>
    </w:p>
    <w:p w14:paraId="2F3BADFF" w14:textId="2F3022BE" w:rsidR="0026400E" w:rsidRPr="00477EC7" w:rsidRDefault="0026400E" w:rsidP="00593A61">
      <w:pPr>
        <w:jc w:val="both"/>
        <w:rPr>
          <w:rFonts w:ascii="Gudea" w:hAnsi="Gudea" w:cs="Arial"/>
          <w:color w:val="162D4C"/>
          <w:szCs w:val="24"/>
          <w:lang w:val="en-GB"/>
        </w:rPr>
      </w:pPr>
      <w:r w:rsidRPr="009618E9">
        <w:rPr>
          <w:rFonts w:ascii="Gudea" w:hAnsi="Gudea" w:cs="Arial"/>
          <w:b/>
          <w:bCs/>
          <w:color w:val="162D4C"/>
          <w:szCs w:val="24"/>
          <w:lang w:val="en-GB"/>
        </w:rPr>
        <w:t>Notice:</w:t>
      </w:r>
      <w:r w:rsidRPr="009618E9">
        <w:rPr>
          <w:rFonts w:ascii="Gudea" w:hAnsi="Gudea" w:cs="Arial"/>
          <w:color w:val="162D4C"/>
          <w:szCs w:val="24"/>
          <w:lang w:val="en-GB"/>
        </w:rPr>
        <w:t xml:space="preserve"> The </w:t>
      </w:r>
      <w:r w:rsidR="00EE0830" w:rsidRPr="009618E9">
        <w:rPr>
          <w:rFonts w:ascii="Gudea" w:hAnsi="Gudea" w:cs="Arial"/>
          <w:color w:val="162D4C"/>
          <w:szCs w:val="24"/>
          <w:lang w:val="en-GB"/>
        </w:rPr>
        <w:t>template</w:t>
      </w:r>
      <w:r w:rsidRPr="009618E9">
        <w:rPr>
          <w:rFonts w:ascii="Gudea" w:hAnsi="Gudea" w:cs="Arial"/>
          <w:color w:val="162D4C"/>
          <w:szCs w:val="24"/>
          <w:lang w:val="en-GB"/>
        </w:rPr>
        <w:t xml:space="preserve"> below contains the recommendations of the</w:t>
      </w:r>
      <w:r w:rsidR="00EE0830" w:rsidRPr="009618E9">
        <w:rPr>
          <w:rFonts w:ascii="Gudea" w:hAnsi="Gudea" w:cs="Arial"/>
          <w:color w:val="162D4C"/>
          <w:szCs w:val="24"/>
          <w:lang w:val="en-GB"/>
        </w:rPr>
        <w:t xml:space="preserve"> Danish</w:t>
      </w:r>
      <w:r w:rsidRPr="009618E9">
        <w:rPr>
          <w:rFonts w:ascii="Gudea" w:hAnsi="Gudea" w:cs="Arial"/>
          <w:color w:val="162D4C"/>
          <w:szCs w:val="24"/>
          <w:lang w:val="en-GB"/>
        </w:rPr>
        <w:t xml:space="preserve"> Committee on Corporate Governance of </w:t>
      </w:r>
      <w:r w:rsidR="00B44BB6">
        <w:rPr>
          <w:rFonts w:ascii="Gudea" w:hAnsi="Gudea" w:cs="Arial"/>
          <w:color w:val="162D4C"/>
          <w:szCs w:val="24"/>
          <w:lang w:val="en-GB"/>
        </w:rPr>
        <w:t>2</w:t>
      </w:r>
      <w:r w:rsidR="00C565F9" w:rsidRPr="009618E9">
        <w:rPr>
          <w:rFonts w:ascii="Gudea" w:hAnsi="Gudea" w:cs="Arial"/>
          <w:color w:val="162D4C"/>
          <w:szCs w:val="24"/>
          <w:lang w:val="en-GB"/>
        </w:rPr>
        <w:t xml:space="preserve"> </w:t>
      </w:r>
      <w:r w:rsidRPr="009618E9">
        <w:rPr>
          <w:rFonts w:ascii="Gudea" w:hAnsi="Gudea" w:cs="Arial"/>
          <w:color w:val="162D4C"/>
          <w:szCs w:val="24"/>
          <w:lang w:val="en-GB"/>
        </w:rPr>
        <w:t>December 2020. The recommendations are available on the website of the</w:t>
      </w:r>
      <w:r w:rsidR="00EE0830" w:rsidRPr="009618E9">
        <w:rPr>
          <w:rFonts w:ascii="Gudea" w:hAnsi="Gudea" w:cs="Arial"/>
          <w:color w:val="162D4C"/>
          <w:szCs w:val="24"/>
          <w:lang w:val="en-GB"/>
        </w:rPr>
        <w:t xml:space="preserve"> Danish</w:t>
      </w:r>
      <w:r w:rsidRPr="009618E9">
        <w:rPr>
          <w:rFonts w:ascii="Gudea" w:hAnsi="Gudea" w:cs="Arial"/>
          <w:color w:val="162D4C"/>
          <w:szCs w:val="24"/>
          <w:lang w:val="en-GB"/>
        </w:rPr>
        <w:t xml:space="preserve"> Committee on Corporate Governance</w:t>
      </w:r>
      <w:r w:rsidR="00746A94" w:rsidRPr="009618E9">
        <w:rPr>
          <w:rFonts w:ascii="Gudea" w:hAnsi="Gudea" w:cs="Arial"/>
          <w:color w:val="162D4C"/>
          <w:szCs w:val="24"/>
          <w:lang w:val="en-GB"/>
        </w:rPr>
        <w:t>,</w:t>
      </w:r>
      <w:r w:rsidR="006824D1" w:rsidRPr="00D01827">
        <w:rPr>
          <w:lang w:val="en-GB"/>
        </w:rPr>
        <w:t xml:space="preserve"> </w:t>
      </w:r>
      <w:hyperlink r:id="rId13" w:history="1">
        <w:r w:rsidR="006824D1" w:rsidRPr="00477EC7">
          <w:rPr>
            <w:rStyle w:val="Hyperlink"/>
            <w:rFonts w:ascii="Gudea" w:hAnsi="Gudea" w:cs="Arial"/>
            <w:szCs w:val="24"/>
            <w:lang w:val="en-GB"/>
          </w:rPr>
          <w:t>corporategovernance.dk</w:t>
        </w:r>
      </w:hyperlink>
      <w:r w:rsidRPr="00474371">
        <w:rPr>
          <w:rFonts w:ascii="Gudea" w:hAnsi="Gudea" w:cs="Arial"/>
          <w:szCs w:val="24"/>
          <w:lang w:val="en-GB"/>
        </w:rPr>
        <w:t xml:space="preserve">. Nasdaq </w:t>
      </w:r>
      <w:r w:rsidRPr="00477EC7">
        <w:rPr>
          <w:rFonts w:ascii="Gudea" w:hAnsi="Gudea" w:cs="Arial"/>
          <w:color w:val="162D4C"/>
          <w:szCs w:val="24"/>
          <w:lang w:val="en-GB"/>
        </w:rPr>
        <w:t xml:space="preserve">Copenhagen A/S has decided to include the recommendations in the Nordic Main Market Rulebook for Issuers of Shares effective from </w:t>
      </w:r>
      <w:r w:rsidR="00F0467F">
        <w:rPr>
          <w:rFonts w:ascii="Gudea" w:hAnsi="Gudea" w:cs="Arial"/>
          <w:color w:val="162D4C"/>
          <w:szCs w:val="24"/>
          <w:lang w:val="en-GB"/>
        </w:rPr>
        <w:t>4</w:t>
      </w:r>
      <w:r w:rsidRPr="00477EC7">
        <w:rPr>
          <w:rFonts w:ascii="Gudea" w:hAnsi="Gudea" w:cs="Arial"/>
          <w:color w:val="162D4C"/>
          <w:szCs w:val="24"/>
          <w:lang w:val="en-GB"/>
        </w:rPr>
        <w:t xml:space="preserve"> </w:t>
      </w:r>
      <w:r w:rsidR="00F0467F">
        <w:rPr>
          <w:rFonts w:ascii="Gudea" w:hAnsi="Gudea" w:cs="Arial"/>
          <w:color w:val="162D4C"/>
          <w:szCs w:val="24"/>
          <w:lang w:val="en-GB"/>
        </w:rPr>
        <w:t>January</w:t>
      </w:r>
      <w:r w:rsidRPr="00477EC7">
        <w:rPr>
          <w:rFonts w:ascii="Gudea" w:hAnsi="Gudea" w:cs="Arial"/>
          <w:color w:val="162D4C"/>
          <w:szCs w:val="24"/>
          <w:lang w:val="en-GB"/>
        </w:rPr>
        <w:t xml:space="preserve"> 202</w:t>
      </w:r>
      <w:r w:rsidR="00F0467F">
        <w:rPr>
          <w:rFonts w:ascii="Gudea" w:hAnsi="Gudea" w:cs="Arial"/>
          <w:color w:val="162D4C"/>
          <w:szCs w:val="24"/>
          <w:lang w:val="en-GB"/>
        </w:rPr>
        <w:t>1</w:t>
      </w:r>
      <w:bookmarkStart w:id="0" w:name="_GoBack"/>
      <w:bookmarkEnd w:id="0"/>
      <w:r w:rsidRPr="00474371">
        <w:rPr>
          <w:rFonts w:ascii="Gudea" w:hAnsi="Gudea" w:cs="Arial"/>
          <w:color w:val="162D4C"/>
          <w:szCs w:val="24"/>
          <w:lang w:val="en-GB"/>
        </w:rPr>
        <w:t xml:space="preserve">. </w:t>
      </w:r>
    </w:p>
    <w:p w14:paraId="4497CD6C" w14:textId="77777777" w:rsidR="0026400E" w:rsidRPr="009618E9" w:rsidRDefault="0026400E" w:rsidP="00593A61">
      <w:pPr>
        <w:jc w:val="both"/>
        <w:rPr>
          <w:rFonts w:ascii="Gudea" w:hAnsi="Gudea" w:cs="Arial"/>
          <w:color w:val="162D4C"/>
          <w:szCs w:val="24"/>
          <w:lang w:val="en-GB"/>
        </w:rPr>
      </w:pPr>
    </w:p>
    <w:p w14:paraId="0C0ADBBA" w14:textId="1B984189" w:rsidR="0026400E" w:rsidRPr="009618E9" w:rsidRDefault="0026400E" w:rsidP="00593A61">
      <w:pPr>
        <w:jc w:val="both"/>
        <w:rPr>
          <w:rFonts w:ascii="Gudea" w:hAnsi="Gudea" w:cs="Arial"/>
          <w:b/>
          <w:bCs/>
          <w:color w:val="162D4C"/>
          <w:szCs w:val="24"/>
          <w:lang w:val="en-GB"/>
        </w:rPr>
      </w:pPr>
      <w:r w:rsidRPr="009618E9">
        <w:rPr>
          <w:rFonts w:ascii="Gudea" w:hAnsi="Gudea" w:cs="Arial"/>
          <w:b/>
          <w:bCs/>
          <w:color w:val="162D4C"/>
          <w:szCs w:val="24"/>
          <w:lang w:val="en-GB"/>
        </w:rPr>
        <w:t xml:space="preserve">This </w:t>
      </w:r>
      <w:r w:rsidR="00C534B4">
        <w:rPr>
          <w:rFonts w:ascii="Gudea" w:hAnsi="Gudea" w:cs="Arial"/>
          <w:b/>
          <w:bCs/>
          <w:color w:val="162D4C"/>
          <w:szCs w:val="24"/>
          <w:lang w:val="en-GB"/>
        </w:rPr>
        <w:t>template</w:t>
      </w:r>
      <w:r w:rsidRPr="009618E9">
        <w:rPr>
          <w:rFonts w:ascii="Gudea" w:hAnsi="Gudea" w:cs="Arial"/>
          <w:b/>
          <w:bCs/>
          <w:color w:val="162D4C"/>
          <w:szCs w:val="24"/>
          <w:lang w:val="en-GB"/>
        </w:rPr>
        <w:t xml:space="preserve"> may be used for the preparation of the report on corporate governance in annual reports concerning financial years commencing</w:t>
      </w:r>
      <w:r w:rsidR="00F56905" w:rsidRPr="009618E9">
        <w:rPr>
          <w:rFonts w:ascii="Gudea" w:hAnsi="Gudea" w:cs="Arial"/>
          <w:b/>
          <w:bCs/>
          <w:color w:val="162D4C"/>
          <w:szCs w:val="24"/>
          <w:lang w:val="en-GB"/>
        </w:rPr>
        <w:t xml:space="preserve"> 1</w:t>
      </w:r>
      <w:r w:rsidR="00C565F9" w:rsidRPr="009618E9">
        <w:rPr>
          <w:rFonts w:ascii="Gudea" w:hAnsi="Gudea" w:cs="Arial"/>
          <w:b/>
          <w:bCs/>
          <w:color w:val="162D4C"/>
          <w:szCs w:val="24"/>
          <w:lang w:val="en-GB"/>
        </w:rPr>
        <w:t xml:space="preserve"> </w:t>
      </w:r>
      <w:r w:rsidRPr="009618E9">
        <w:rPr>
          <w:rFonts w:ascii="Gudea" w:hAnsi="Gudea" w:cs="Arial"/>
          <w:b/>
          <w:bCs/>
          <w:color w:val="162D4C"/>
          <w:szCs w:val="24"/>
          <w:lang w:val="en-GB"/>
        </w:rPr>
        <w:t>January</w:t>
      </w:r>
      <w:r w:rsidR="00F56905" w:rsidRPr="009618E9">
        <w:rPr>
          <w:rFonts w:ascii="Gudea" w:hAnsi="Gudea" w:cs="Arial"/>
          <w:b/>
          <w:bCs/>
          <w:color w:val="162D4C"/>
          <w:szCs w:val="24"/>
          <w:lang w:val="en-GB"/>
        </w:rPr>
        <w:t xml:space="preserve"> </w:t>
      </w:r>
      <w:r w:rsidRPr="009618E9">
        <w:rPr>
          <w:rFonts w:ascii="Gudea" w:hAnsi="Gudea" w:cs="Arial"/>
          <w:b/>
          <w:bCs/>
          <w:color w:val="162D4C"/>
          <w:szCs w:val="24"/>
          <w:lang w:val="en-GB"/>
        </w:rPr>
        <w:t>2021 or later.</w:t>
      </w:r>
    </w:p>
    <w:p w14:paraId="7D6DE21D" w14:textId="77777777" w:rsidR="005B02D7" w:rsidRPr="00D01827" w:rsidRDefault="005B02D7" w:rsidP="00084247">
      <w:pPr>
        <w:jc w:val="both"/>
        <w:rPr>
          <w:rFonts w:ascii="Gudea" w:hAnsi="Gudea" w:cs="Arial"/>
          <w:b/>
          <w:bCs/>
          <w:color w:val="162D4C"/>
          <w:sz w:val="30"/>
          <w:szCs w:val="28"/>
          <w:lang w:val="en-GB"/>
        </w:rPr>
        <w:sectPr w:rsidR="005B02D7" w:rsidRPr="00D01827" w:rsidSect="00BC0B0D">
          <w:headerReference w:type="default" r:id="rId14"/>
          <w:footerReference w:type="default" r:id="rId15"/>
          <w:pgSz w:w="16840" w:h="11907" w:orient="landscape" w:code="9"/>
          <w:pgMar w:top="1361" w:right="1134" w:bottom="1361" w:left="1134" w:header="708" w:footer="708" w:gutter="0"/>
          <w:cols w:space="708"/>
          <w:docGrid w:linePitch="326"/>
        </w:sectPr>
      </w:pPr>
    </w:p>
    <w:p w14:paraId="27F2B6B3" w14:textId="219D65FE" w:rsidR="00F635E9" w:rsidRPr="00D01827" w:rsidRDefault="00CF7491" w:rsidP="00084247">
      <w:pPr>
        <w:jc w:val="both"/>
        <w:rPr>
          <w:rFonts w:ascii="Gudea" w:hAnsi="Gudea" w:cs="Arial"/>
          <w:b/>
          <w:bCs/>
          <w:color w:val="162D4C"/>
          <w:sz w:val="22"/>
          <w:szCs w:val="22"/>
          <w:lang w:val="en-GB"/>
        </w:rPr>
      </w:pPr>
      <w:r w:rsidRPr="00D01827">
        <w:rPr>
          <w:rFonts w:ascii="Gudea" w:hAnsi="Gudea" w:cs="Arial"/>
          <w:b/>
          <w:bCs/>
          <w:color w:val="162D4C"/>
          <w:sz w:val="30"/>
          <w:szCs w:val="28"/>
          <w:lang w:val="en-GB"/>
        </w:rPr>
        <w:lastRenderedPageBreak/>
        <w:t>Reporting and the c</w:t>
      </w:r>
      <w:r w:rsidR="00F635E9" w:rsidRPr="00D01827">
        <w:rPr>
          <w:rFonts w:ascii="Gudea" w:hAnsi="Gudea" w:cs="Arial"/>
          <w:b/>
          <w:bCs/>
          <w:color w:val="162D4C"/>
          <w:sz w:val="30"/>
          <w:szCs w:val="28"/>
          <w:lang w:val="en-GB"/>
        </w:rPr>
        <w:t>omply or explain</w:t>
      </w:r>
      <w:r w:rsidRPr="00D01827">
        <w:rPr>
          <w:rFonts w:ascii="Gudea" w:hAnsi="Gudea" w:cs="Arial"/>
          <w:b/>
          <w:bCs/>
          <w:color w:val="162D4C"/>
          <w:sz w:val="30"/>
          <w:szCs w:val="28"/>
          <w:lang w:val="en-GB"/>
        </w:rPr>
        <w:t xml:space="preserve"> approach</w:t>
      </w:r>
    </w:p>
    <w:p w14:paraId="0295D9F3" w14:textId="77777777" w:rsidR="0066390B" w:rsidRPr="00D01827" w:rsidRDefault="0066390B" w:rsidP="00762FF5">
      <w:pPr>
        <w:rPr>
          <w:rFonts w:ascii="Gudea" w:hAnsi="Gudea" w:cs="Arial"/>
          <w:color w:val="162D4C"/>
          <w:szCs w:val="24"/>
          <w:lang w:val="en-GB"/>
        </w:rPr>
      </w:pPr>
    </w:p>
    <w:p w14:paraId="4DF57002" w14:textId="7A9A656F" w:rsidR="002A7BE3" w:rsidRPr="00D01827" w:rsidRDefault="00194CEC" w:rsidP="00762FF5">
      <w:pPr>
        <w:rPr>
          <w:rFonts w:ascii="Gudea" w:hAnsi="Gudea" w:cs="Arial"/>
          <w:color w:val="162D4C"/>
          <w:szCs w:val="24"/>
          <w:lang w:val="en-GB"/>
        </w:rPr>
      </w:pPr>
      <w:r w:rsidRPr="00D01827">
        <w:rPr>
          <w:rFonts w:ascii="Gudea" w:hAnsi="Gudea" w:cs="Arial"/>
          <w:color w:val="162D4C"/>
          <w:szCs w:val="24"/>
          <w:lang w:val="en-GB"/>
        </w:rPr>
        <w:t>It is stated in</w:t>
      </w:r>
      <w:r w:rsidR="00F635E9" w:rsidRPr="00D01827">
        <w:rPr>
          <w:rFonts w:ascii="Gudea" w:hAnsi="Gudea" w:cs="Arial"/>
          <w:color w:val="162D4C"/>
          <w:szCs w:val="24"/>
          <w:lang w:val="en-GB"/>
        </w:rPr>
        <w:t xml:space="preserve"> section 107 b of the Danish Financial Statements Act that a company with shares admitted to trading on a regulated market must include a </w:t>
      </w:r>
      <w:r w:rsidR="002A7BE3" w:rsidRPr="00D01827">
        <w:rPr>
          <w:rFonts w:ascii="Gudea" w:hAnsi="Gudea" w:cs="Arial"/>
          <w:color w:val="162D4C"/>
          <w:szCs w:val="24"/>
          <w:lang w:val="en-GB"/>
        </w:rPr>
        <w:t>report on corporate governance in the management commentary of the annual report.</w:t>
      </w:r>
    </w:p>
    <w:p w14:paraId="1C292EC2" w14:textId="319B7563" w:rsidR="004A2B05" w:rsidRPr="00D01827" w:rsidRDefault="004A2B05" w:rsidP="00593A61">
      <w:pPr>
        <w:rPr>
          <w:rFonts w:ascii="Gudea" w:hAnsi="Gudea" w:cs="Arial"/>
          <w:color w:val="162D4C"/>
          <w:szCs w:val="24"/>
          <w:lang w:val="en-GB"/>
        </w:rPr>
      </w:pPr>
    </w:p>
    <w:p w14:paraId="323CE1C3" w14:textId="29D5D99B" w:rsidR="002A7BE3" w:rsidRPr="00D01827" w:rsidRDefault="002A7BE3" w:rsidP="00593A61">
      <w:pPr>
        <w:rPr>
          <w:rFonts w:ascii="Gudea" w:hAnsi="Gudea" w:cs="Arial"/>
          <w:color w:val="162D4C"/>
          <w:sz w:val="26"/>
          <w:szCs w:val="22"/>
          <w:lang w:val="en-GB"/>
        </w:rPr>
      </w:pPr>
      <w:r w:rsidRPr="00D01827">
        <w:rPr>
          <w:rFonts w:ascii="Gudea" w:hAnsi="Gudea" w:cs="Arial"/>
          <w:color w:val="162D4C"/>
          <w:szCs w:val="24"/>
          <w:lang w:val="en-GB"/>
        </w:rPr>
        <w:t>This means that each company in the corporate governance statement</w:t>
      </w:r>
      <w:r w:rsidR="00194CEC" w:rsidRPr="00D01827">
        <w:rPr>
          <w:rFonts w:ascii="Gudea" w:hAnsi="Gudea" w:cs="Arial"/>
          <w:color w:val="162D4C"/>
          <w:szCs w:val="24"/>
          <w:lang w:val="en-GB"/>
        </w:rPr>
        <w:t xml:space="preserve"> must</w:t>
      </w:r>
      <w:r w:rsidRPr="00D01827">
        <w:rPr>
          <w:rFonts w:ascii="Gudea" w:hAnsi="Gudea" w:cs="Arial"/>
          <w:color w:val="162D4C"/>
          <w:szCs w:val="24"/>
          <w:lang w:val="en-GB"/>
        </w:rPr>
        <w:t xml:space="preserve"> give an account of which recommendations the company has chosen to comply with and which ones they have not, regardless of whether complied with or deviated from</w:t>
      </w:r>
      <w:r w:rsidR="00194CEC" w:rsidRPr="00D01827">
        <w:rPr>
          <w:rFonts w:ascii="Gudea" w:hAnsi="Gudea" w:cs="Arial"/>
          <w:color w:val="162D4C"/>
          <w:szCs w:val="24"/>
          <w:lang w:val="en-GB"/>
        </w:rPr>
        <w:t xml:space="preserve"> the recommendation</w:t>
      </w:r>
      <w:r w:rsidRPr="00D01827">
        <w:rPr>
          <w:rFonts w:ascii="Gudea" w:hAnsi="Gudea" w:cs="Arial"/>
          <w:color w:val="162D4C"/>
          <w:szCs w:val="24"/>
          <w:lang w:val="en-GB"/>
        </w:rPr>
        <w:t>.</w:t>
      </w:r>
    </w:p>
    <w:p w14:paraId="1E5F7D57" w14:textId="77777777" w:rsidR="004A2B05" w:rsidRPr="00D01827" w:rsidRDefault="004A2B05" w:rsidP="00593A61">
      <w:pPr>
        <w:rPr>
          <w:rFonts w:ascii="Gudea" w:hAnsi="Gudea" w:cs="Arial"/>
          <w:color w:val="162D4C"/>
          <w:sz w:val="26"/>
          <w:szCs w:val="22"/>
          <w:lang w:val="en-GB"/>
        </w:rPr>
      </w:pPr>
    </w:p>
    <w:p w14:paraId="7E214041" w14:textId="3C75FF79" w:rsidR="00194CEC" w:rsidRPr="00D01827" w:rsidRDefault="002A7BE3" w:rsidP="00593A61">
      <w:pPr>
        <w:rPr>
          <w:rFonts w:ascii="Gudea" w:hAnsi="Gudea" w:cs="Arial"/>
          <w:color w:val="162D4C"/>
          <w:szCs w:val="24"/>
          <w:lang w:val="en-GB"/>
        </w:rPr>
      </w:pPr>
      <w:r w:rsidRPr="00D01827">
        <w:rPr>
          <w:rFonts w:ascii="Gudea" w:hAnsi="Gudea" w:cs="Arial"/>
          <w:color w:val="162D4C"/>
          <w:szCs w:val="24"/>
          <w:lang w:val="en-GB"/>
        </w:rPr>
        <w:t xml:space="preserve">If a company deviates from parts of the recommendations, the company has to explain the reasons for the deviations, cf. section 107 b (1) (iii) of the </w:t>
      </w:r>
      <w:r w:rsidR="00CF7491" w:rsidRPr="00D01827">
        <w:rPr>
          <w:rFonts w:ascii="Gudea" w:hAnsi="Gudea" w:cs="Arial"/>
          <w:color w:val="162D4C"/>
          <w:szCs w:val="24"/>
          <w:lang w:val="en-GB"/>
        </w:rPr>
        <w:t xml:space="preserve">Danish </w:t>
      </w:r>
      <w:r w:rsidRPr="00D01827">
        <w:rPr>
          <w:rFonts w:ascii="Gudea" w:hAnsi="Gudea" w:cs="Arial"/>
          <w:color w:val="162D4C"/>
          <w:szCs w:val="24"/>
          <w:lang w:val="en-GB"/>
        </w:rPr>
        <w:t>Financial Statements Act. The company has to explain why it has chosen not to comply with a recommendation and what it has chosen to do instead.</w:t>
      </w:r>
    </w:p>
    <w:p w14:paraId="28FA341A" w14:textId="77777777" w:rsidR="00194CEC" w:rsidRPr="00D01827" w:rsidRDefault="00194CEC" w:rsidP="00593A61">
      <w:pPr>
        <w:rPr>
          <w:rFonts w:ascii="Gudea" w:hAnsi="Gudea" w:cs="Arial"/>
          <w:color w:val="162D4C"/>
          <w:szCs w:val="24"/>
          <w:lang w:val="en-GB"/>
        </w:rPr>
      </w:pPr>
    </w:p>
    <w:p w14:paraId="3384BCAA" w14:textId="5CAB0C0D" w:rsidR="002A7BE3" w:rsidRPr="00D01827" w:rsidRDefault="00194CEC" w:rsidP="00593A61">
      <w:pPr>
        <w:rPr>
          <w:rFonts w:ascii="Gudea" w:hAnsi="Gudea" w:cs="Arial"/>
          <w:color w:val="162D4C"/>
          <w:szCs w:val="24"/>
          <w:lang w:val="en-GB"/>
        </w:rPr>
      </w:pPr>
      <w:r w:rsidRPr="00D01827">
        <w:rPr>
          <w:rFonts w:ascii="Gudea" w:hAnsi="Gudea" w:cs="Arial"/>
          <w:color w:val="162D4C"/>
          <w:szCs w:val="24"/>
          <w:lang w:val="en-GB"/>
        </w:rPr>
        <w:t>A company may thus be compliant if the company instead of complying with a recommendation explains the above mentioned.</w:t>
      </w:r>
      <w:r w:rsidR="002A7BE3" w:rsidRPr="00D01827">
        <w:rPr>
          <w:rFonts w:ascii="Gudea" w:hAnsi="Gudea" w:cs="Arial"/>
          <w:color w:val="162D4C"/>
          <w:szCs w:val="24"/>
          <w:lang w:val="en-GB"/>
        </w:rPr>
        <w:t xml:space="preserve"> </w:t>
      </w:r>
    </w:p>
    <w:p w14:paraId="5F311C04" w14:textId="7A0CC19B" w:rsidR="00593A61" w:rsidRPr="00D01827" w:rsidRDefault="00593A61" w:rsidP="00593A61">
      <w:pPr>
        <w:rPr>
          <w:rFonts w:ascii="Gudea" w:hAnsi="Gudea" w:cs="Arial"/>
          <w:color w:val="162D4C"/>
          <w:szCs w:val="24"/>
          <w:lang w:val="en-GB"/>
        </w:rPr>
      </w:pPr>
    </w:p>
    <w:p w14:paraId="254A415F" w14:textId="62F62340" w:rsidR="00547F4F" w:rsidRPr="009618E9" w:rsidRDefault="00547F4F" w:rsidP="001F351B">
      <w:pPr>
        <w:rPr>
          <w:rFonts w:ascii="Gudea" w:hAnsi="Gudea" w:cs="Arial"/>
          <w:color w:val="162D4C"/>
          <w:szCs w:val="24"/>
          <w:lang w:val="en-GB"/>
        </w:rPr>
      </w:pPr>
      <w:r w:rsidRPr="00D01827">
        <w:rPr>
          <w:rFonts w:ascii="Gudea" w:hAnsi="Gudea" w:cs="Arial"/>
          <w:color w:val="162D4C"/>
          <w:szCs w:val="24"/>
          <w:lang w:val="en-GB"/>
        </w:rPr>
        <w:t xml:space="preserve">Note that the reporting must reflect the </w:t>
      </w:r>
      <w:r w:rsidR="00CF7491" w:rsidRPr="00D01827">
        <w:rPr>
          <w:rFonts w:ascii="Gudea" w:hAnsi="Gudea" w:cs="Arial"/>
          <w:color w:val="162D4C"/>
          <w:szCs w:val="24"/>
          <w:lang w:val="en-GB"/>
        </w:rPr>
        <w:t>company’s position</w:t>
      </w:r>
      <w:r w:rsidRPr="00D01827">
        <w:rPr>
          <w:rFonts w:ascii="Gudea" w:hAnsi="Gudea" w:cs="Arial"/>
          <w:color w:val="162D4C"/>
          <w:szCs w:val="24"/>
          <w:lang w:val="en-GB"/>
        </w:rPr>
        <w:t xml:space="preserve"> at the time of </w:t>
      </w:r>
      <w:r w:rsidR="00CF7491" w:rsidRPr="00D01827">
        <w:rPr>
          <w:rFonts w:ascii="Gudea" w:hAnsi="Gudea" w:cs="Arial"/>
          <w:color w:val="162D4C"/>
          <w:szCs w:val="24"/>
          <w:lang w:val="en-GB"/>
        </w:rPr>
        <w:t>publication of the annual report</w:t>
      </w:r>
      <w:r w:rsidRPr="00D01827">
        <w:rPr>
          <w:rFonts w:ascii="Gudea" w:hAnsi="Gudea" w:cs="Arial"/>
          <w:color w:val="162D4C"/>
          <w:szCs w:val="24"/>
          <w:lang w:val="en-GB"/>
        </w:rPr>
        <w:t xml:space="preserve">. </w:t>
      </w:r>
      <w:r w:rsidR="00CF7491" w:rsidRPr="00474371">
        <w:rPr>
          <w:rFonts w:ascii="Gudea" w:hAnsi="Gudea" w:cs="Arial"/>
          <w:color w:val="162D4C"/>
          <w:szCs w:val="24"/>
          <w:lang w:val="en-GB"/>
        </w:rPr>
        <w:t xml:space="preserve">However, any significant changes that </w:t>
      </w:r>
      <w:r w:rsidR="00CF7491" w:rsidRPr="009618E9">
        <w:rPr>
          <w:rFonts w:ascii="Gudea" w:hAnsi="Gudea" w:cs="Arial"/>
          <w:color w:val="162D4C"/>
          <w:szCs w:val="24"/>
          <w:lang w:val="en-GB"/>
        </w:rPr>
        <w:t>occurred after the completion of the company’s accounts, but before the publication of the annual report, should be included in the corporate governance statement</w:t>
      </w:r>
      <w:r w:rsidRPr="009618E9">
        <w:rPr>
          <w:rFonts w:ascii="Gudea" w:hAnsi="Gudea" w:cs="Arial"/>
          <w:color w:val="162D4C"/>
          <w:szCs w:val="24"/>
          <w:lang w:val="en-GB"/>
        </w:rPr>
        <w:t>.</w:t>
      </w:r>
    </w:p>
    <w:p w14:paraId="141D40E7" w14:textId="3CCA3BA3" w:rsidR="001F351B" w:rsidRPr="009618E9" w:rsidRDefault="001F351B" w:rsidP="00593A61">
      <w:pPr>
        <w:rPr>
          <w:rFonts w:ascii="Gudea" w:hAnsi="Gudea" w:cs="Arial"/>
          <w:color w:val="162D4C"/>
          <w:szCs w:val="24"/>
          <w:lang w:val="en-GB"/>
        </w:rPr>
      </w:pPr>
    </w:p>
    <w:p w14:paraId="6B85F53B" w14:textId="6C2C130A" w:rsidR="00547F4F" w:rsidRPr="009618E9" w:rsidRDefault="00547F4F" w:rsidP="001F351B">
      <w:pPr>
        <w:rPr>
          <w:rFonts w:ascii="Gudea" w:hAnsi="Gudea" w:cs="Arial"/>
          <w:color w:val="162D4C"/>
          <w:szCs w:val="24"/>
          <w:lang w:val="en-GB"/>
        </w:rPr>
      </w:pPr>
      <w:r w:rsidRPr="009618E9">
        <w:rPr>
          <w:rFonts w:ascii="Gudea" w:hAnsi="Gudea" w:cs="Arial"/>
          <w:color w:val="162D4C"/>
          <w:szCs w:val="24"/>
          <w:lang w:val="en-GB"/>
        </w:rPr>
        <w:t xml:space="preserve">In order to create the transparency necessary for investors and other stakeholders, </w:t>
      </w:r>
      <w:r w:rsidR="00F514C8" w:rsidRPr="009618E9">
        <w:rPr>
          <w:rFonts w:ascii="Gudea" w:hAnsi="Gudea" w:cs="Arial"/>
          <w:color w:val="162D4C"/>
          <w:szCs w:val="24"/>
          <w:lang w:val="en-GB"/>
        </w:rPr>
        <w:t>the company</w:t>
      </w:r>
      <w:r w:rsidRPr="009618E9">
        <w:rPr>
          <w:rFonts w:ascii="Gudea" w:hAnsi="Gudea" w:cs="Arial"/>
          <w:color w:val="162D4C"/>
          <w:szCs w:val="24"/>
          <w:lang w:val="en-GB"/>
        </w:rPr>
        <w:t xml:space="preserve"> must respond to each recommendation and provide information on </w:t>
      </w:r>
      <w:r w:rsidR="007F67DA" w:rsidRPr="009618E9">
        <w:rPr>
          <w:rFonts w:ascii="Gudea" w:hAnsi="Gudea" w:cs="Arial"/>
          <w:color w:val="162D4C"/>
          <w:szCs w:val="24"/>
          <w:lang w:val="en-GB"/>
        </w:rPr>
        <w:t>whether</w:t>
      </w:r>
      <w:r w:rsidRPr="009618E9">
        <w:rPr>
          <w:rFonts w:ascii="Gudea" w:hAnsi="Gudea" w:cs="Arial"/>
          <w:color w:val="162D4C"/>
          <w:szCs w:val="24"/>
          <w:lang w:val="en-GB"/>
        </w:rPr>
        <w:t xml:space="preserve"> </w:t>
      </w:r>
      <w:r w:rsidR="00F514C8" w:rsidRPr="009618E9">
        <w:rPr>
          <w:rFonts w:ascii="Gudea" w:hAnsi="Gudea" w:cs="Arial"/>
          <w:color w:val="162D4C"/>
          <w:szCs w:val="24"/>
          <w:lang w:val="en-GB"/>
        </w:rPr>
        <w:t>the company</w:t>
      </w:r>
      <w:r w:rsidRPr="009618E9">
        <w:rPr>
          <w:rFonts w:ascii="Gudea" w:hAnsi="Gudea" w:cs="Arial"/>
          <w:color w:val="162D4C"/>
          <w:szCs w:val="24"/>
          <w:lang w:val="en-GB"/>
        </w:rPr>
        <w:t xml:space="preserve"> compl</w:t>
      </w:r>
      <w:r w:rsidR="0048556A" w:rsidRPr="009618E9">
        <w:rPr>
          <w:rFonts w:ascii="Gudea" w:hAnsi="Gudea" w:cs="Arial"/>
          <w:color w:val="162D4C"/>
          <w:szCs w:val="24"/>
          <w:lang w:val="en-GB"/>
        </w:rPr>
        <w:t>ies</w:t>
      </w:r>
      <w:r w:rsidRPr="009618E9">
        <w:rPr>
          <w:rFonts w:ascii="Gudea" w:hAnsi="Gudea" w:cs="Arial"/>
          <w:color w:val="162D4C"/>
          <w:szCs w:val="24"/>
          <w:lang w:val="en-GB"/>
        </w:rPr>
        <w:t xml:space="preserve"> with the recommendation in question.</w:t>
      </w:r>
    </w:p>
    <w:p w14:paraId="73DAFF9B" w14:textId="77777777" w:rsidR="00913562" w:rsidRPr="009618E9" w:rsidRDefault="00913562" w:rsidP="001F351B">
      <w:pPr>
        <w:rPr>
          <w:rFonts w:ascii="Gudea" w:hAnsi="Gudea"/>
          <w:b/>
          <w:bCs/>
          <w:sz w:val="30"/>
          <w:szCs w:val="30"/>
          <w:lang w:val="en-GB"/>
        </w:rPr>
      </w:pPr>
    </w:p>
    <w:p w14:paraId="27F599A2" w14:textId="17B33714" w:rsidR="002744AF" w:rsidRPr="009618E9" w:rsidRDefault="00A673F8" w:rsidP="001F351B">
      <w:pPr>
        <w:rPr>
          <w:rFonts w:ascii="Gudea" w:hAnsi="Gudea"/>
          <w:sz w:val="32"/>
          <w:szCs w:val="32"/>
          <w:lang w:val="en-GB"/>
        </w:rPr>
        <w:sectPr w:rsidR="002744AF" w:rsidRPr="009618E9" w:rsidSect="00BC0B0D">
          <w:pgSz w:w="16840" w:h="11907" w:orient="landscape" w:code="9"/>
          <w:pgMar w:top="1361" w:right="1134" w:bottom="1361" w:left="1134" w:header="708" w:footer="708" w:gutter="0"/>
          <w:cols w:space="708"/>
          <w:docGrid w:linePitch="326"/>
        </w:sectPr>
      </w:pPr>
      <w:r w:rsidRPr="00474371">
        <w:rPr>
          <w:rFonts w:ascii="Gudea" w:hAnsi="Gudea"/>
          <w:noProof/>
          <w:color w:val="162D4C"/>
          <w:sz w:val="28"/>
          <w:szCs w:val="28"/>
          <w:lang w:val="en-GB"/>
        </w:rPr>
        <mc:AlternateContent>
          <mc:Choice Requires="wps">
            <w:drawing>
              <wp:anchor distT="45720" distB="45720" distL="114300" distR="114300" simplePos="0" relativeHeight="251662336" behindDoc="0" locked="0" layoutInCell="1" allowOverlap="1" wp14:anchorId="509D74E4" wp14:editId="15B2CB44">
                <wp:simplePos x="0" y="0"/>
                <wp:positionH relativeFrom="margin">
                  <wp:align>left</wp:align>
                </wp:positionH>
                <wp:positionV relativeFrom="paragraph">
                  <wp:posOffset>351790</wp:posOffset>
                </wp:positionV>
                <wp:extent cx="9229725" cy="1038225"/>
                <wp:effectExtent l="0" t="0" r="28575" b="28575"/>
                <wp:wrapSquare wrapText="bothSides"/>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9725" cy="1038225"/>
                        </a:xfrm>
                        <a:prstGeom prst="rect">
                          <a:avLst/>
                        </a:prstGeom>
                        <a:solidFill>
                          <a:srgbClr val="FFFFFF"/>
                        </a:solidFill>
                        <a:ln w="9525">
                          <a:solidFill>
                            <a:srgbClr val="000000"/>
                          </a:solidFill>
                          <a:miter lim="800000"/>
                          <a:headEnd/>
                          <a:tailEnd/>
                        </a:ln>
                      </wps:spPr>
                      <wps:txbx>
                        <w:txbxContent>
                          <w:p w14:paraId="067DC7F0" w14:textId="7D5839BA" w:rsidR="003C7816" w:rsidRPr="00022147" w:rsidRDefault="00547F4F">
                            <w:pPr>
                              <w:rPr>
                                <w:rFonts w:ascii="Gudea" w:hAnsi="Gudea"/>
                                <w:b/>
                                <w:bCs/>
                                <w:color w:val="162D4C"/>
                                <w:sz w:val="26"/>
                                <w:szCs w:val="22"/>
                                <w:lang w:val="en-US"/>
                              </w:rPr>
                            </w:pPr>
                            <w:r w:rsidRPr="00022147">
                              <w:rPr>
                                <w:rFonts w:ascii="Gudea" w:hAnsi="Gudea"/>
                                <w:b/>
                                <w:bCs/>
                                <w:color w:val="162D4C"/>
                                <w:sz w:val="26"/>
                                <w:szCs w:val="22"/>
                                <w:lang w:val="en-US"/>
                              </w:rPr>
                              <w:t>Notice</w:t>
                            </w:r>
                            <w:r w:rsidR="003C7816" w:rsidRPr="00022147">
                              <w:rPr>
                                <w:rFonts w:ascii="Gudea" w:hAnsi="Gudea"/>
                                <w:b/>
                                <w:bCs/>
                                <w:color w:val="162D4C"/>
                                <w:sz w:val="26"/>
                                <w:szCs w:val="22"/>
                                <w:lang w:val="en-US"/>
                              </w:rPr>
                              <w:t>!</w:t>
                            </w:r>
                          </w:p>
                          <w:p w14:paraId="18BC87DA" w14:textId="2F2BED0C" w:rsidR="003C7816" w:rsidRPr="00022147" w:rsidRDefault="003C7816">
                            <w:pPr>
                              <w:rPr>
                                <w:rFonts w:ascii="Gudea" w:hAnsi="Gudea"/>
                                <w:color w:val="162D4C"/>
                                <w:sz w:val="26"/>
                                <w:szCs w:val="22"/>
                                <w:lang w:val="en-US"/>
                              </w:rPr>
                            </w:pPr>
                          </w:p>
                          <w:p w14:paraId="289D3451" w14:textId="2522B9CA" w:rsidR="00547F4F" w:rsidRPr="00022147" w:rsidRDefault="00547F4F">
                            <w:pPr>
                              <w:rPr>
                                <w:rFonts w:ascii="Gudea" w:hAnsi="Gudea"/>
                                <w:color w:val="162D4C"/>
                                <w:sz w:val="26"/>
                                <w:szCs w:val="22"/>
                                <w:lang w:val="en-US"/>
                              </w:rPr>
                            </w:pPr>
                            <w:r w:rsidRPr="007F67DA">
                              <w:rPr>
                                <w:rFonts w:ascii="Gudea" w:hAnsi="Gudea"/>
                                <w:color w:val="162D4C"/>
                                <w:sz w:val="26"/>
                                <w:szCs w:val="22"/>
                                <w:lang w:val="en-US"/>
                              </w:rPr>
                              <w:t xml:space="preserve">The report </w:t>
                            </w:r>
                            <w:r w:rsidR="007F67DA" w:rsidRPr="007F67DA">
                              <w:rPr>
                                <w:rFonts w:ascii="Gudea" w:hAnsi="Gudea"/>
                                <w:color w:val="162D4C"/>
                                <w:sz w:val="26"/>
                                <w:szCs w:val="22"/>
                                <w:lang w:val="en-US"/>
                              </w:rPr>
                              <w:t>constitute</w:t>
                            </w:r>
                            <w:r w:rsidR="00CF7491">
                              <w:rPr>
                                <w:rFonts w:ascii="Gudea" w:hAnsi="Gudea"/>
                                <w:color w:val="162D4C"/>
                                <w:sz w:val="26"/>
                                <w:szCs w:val="22"/>
                                <w:lang w:val="en-US"/>
                              </w:rPr>
                              <w:t>s</w:t>
                            </w:r>
                            <w:r w:rsidR="007F67DA" w:rsidRPr="007F67DA">
                              <w:rPr>
                                <w:rFonts w:ascii="Gudea" w:hAnsi="Gudea"/>
                                <w:color w:val="162D4C"/>
                                <w:sz w:val="26"/>
                                <w:szCs w:val="22"/>
                                <w:lang w:val="en-US"/>
                              </w:rPr>
                              <w:t xml:space="preserve"> a part </w:t>
                            </w:r>
                            <w:r w:rsidR="007F67DA" w:rsidRPr="00022147">
                              <w:rPr>
                                <w:rFonts w:ascii="Gudea" w:hAnsi="Gudea"/>
                                <w:color w:val="162D4C"/>
                                <w:sz w:val="26"/>
                                <w:szCs w:val="22"/>
                                <w:lang w:val="en-US"/>
                              </w:rPr>
                              <w:t>of the management commentary on the annual report</w:t>
                            </w:r>
                            <w:r w:rsidRPr="007F67DA">
                              <w:rPr>
                                <w:rFonts w:ascii="Gudea" w:hAnsi="Gudea"/>
                                <w:color w:val="162D4C"/>
                                <w:sz w:val="26"/>
                                <w:szCs w:val="22"/>
                                <w:lang w:val="en-US"/>
                              </w:rPr>
                              <w:t xml:space="preserve"> conce</w:t>
                            </w:r>
                            <w:r w:rsidR="007F67DA" w:rsidRPr="007F67DA">
                              <w:rPr>
                                <w:rFonts w:ascii="Gudea" w:hAnsi="Gudea"/>
                                <w:color w:val="162D4C"/>
                                <w:sz w:val="26"/>
                                <w:szCs w:val="22"/>
                                <w:lang w:val="en-US"/>
                              </w:rPr>
                              <w:t>rning</w:t>
                            </w:r>
                            <w:r w:rsidRPr="007F67DA">
                              <w:rPr>
                                <w:rFonts w:ascii="Gudea" w:hAnsi="Gudea"/>
                                <w:color w:val="162D4C"/>
                                <w:sz w:val="26"/>
                                <w:szCs w:val="22"/>
                                <w:lang w:val="en-US"/>
                              </w:rPr>
                              <w:t xml:space="preserve"> the financial year:</w:t>
                            </w:r>
                          </w:p>
                          <w:p w14:paraId="4331A99F" w14:textId="1EE73120" w:rsidR="003C7816" w:rsidRPr="001F351B" w:rsidRDefault="003C7816">
                            <w:pPr>
                              <w:rPr>
                                <w:rFonts w:ascii="Gudea" w:hAnsi="Gudea"/>
                                <w:b/>
                                <w:bCs/>
                                <w:i/>
                                <w:iCs/>
                                <w:color w:val="162D4C"/>
                                <w:sz w:val="26"/>
                                <w:szCs w:val="22"/>
                              </w:rPr>
                            </w:pPr>
                            <w:r w:rsidRPr="001F351B">
                              <w:rPr>
                                <w:rFonts w:ascii="Gudea" w:hAnsi="Gudea"/>
                                <w:b/>
                                <w:bCs/>
                                <w:i/>
                                <w:iCs/>
                                <w:color w:val="162D4C"/>
                                <w:sz w:val="26"/>
                                <w:szCs w:val="22"/>
                              </w:rPr>
                              <w:t>[</w:t>
                            </w:r>
                            <w:r w:rsidR="00547F4F">
                              <w:rPr>
                                <w:rFonts w:ascii="Gudea" w:hAnsi="Gudea"/>
                                <w:b/>
                                <w:bCs/>
                                <w:i/>
                                <w:iCs/>
                                <w:color w:val="162D4C"/>
                                <w:sz w:val="26"/>
                                <w:szCs w:val="22"/>
                              </w:rPr>
                              <w:t>the company’s financial year</w:t>
                            </w:r>
                            <w:r w:rsidRPr="001F351B">
                              <w:rPr>
                                <w:rFonts w:ascii="Gudea" w:hAnsi="Gudea"/>
                                <w:b/>
                                <w:bCs/>
                                <w:i/>
                                <w:iCs/>
                                <w:color w:val="162D4C"/>
                                <w:sz w:val="26"/>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9D74E4" id="_x0000_s1027" type="#_x0000_t202" style="position:absolute;margin-left:0;margin-top:27.7pt;width:726.75pt;height:81.7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">
                <v:textbox>
                  <w:txbxContent>
                    <w:p w14:paraId="067DC7F0" w14:textId="7D5839BA" w:rsidR="003C7816" w:rsidRPr="00022147" w:rsidRDefault="00547F4F">
                      <w:pPr>
                        <w:rPr>
                          <w:rFonts w:ascii="Gudea" w:hAnsi="Gudea"/>
                          <w:b/>
                          <w:bCs/>
                          <w:color w:val="162D4C"/>
                          <w:sz w:val="26"/>
                          <w:szCs w:val="22"/>
                          <w:lang w:val="en-US"/>
                        </w:rPr>
                      </w:pPr>
                      <w:r w:rsidRPr="00022147">
                        <w:rPr>
                          <w:rFonts w:ascii="Gudea" w:hAnsi="Gudea"/>
                          <w:b/>
                          <w:bCs/>
                          <w:color w:val="162D4C"/>
                          <w:sz w:val="26"/>
                          <w:szCs w:val="22"/>
                          <w:lang w:val="en-US"/>
                        </w:rPr>
                        <w:t>Notice</w:t>
                      </w:r>
                      <w:r w:rsidR="003C7816" w:rsidRPr="00022147">
                        <w:rPr>
                          <w:rFonts w:ascii="Gudea" w:hAnsi="Gudea"/>
                          <w:b/>
                          <w:bCs/>
                          <w:color w:val="162D4C"/>
                          <w:sz w:val="26"/>
                          <w:szCs w:val="22"/>
                          <w:lang w:val="en-US"/>
                        </w:rPr>
                        <w:t>!</w:t>
                      </w:r>
                    </w:p>
                    <w:p w14:paraId="18BC87DA" w14:textId="2F2BED0C" w:rsidR="003C7816" w:rsidRPr="00022147" w:rsidRDefault="003C7816">
                      <w:pPr>
                        <w:rPr>
                          <w:rFonts w:ascii="Gudea" w:hAnsi="Gudea"/>
                          <w:color w:val="162D4C"/>
                          <w:sz w:val="26"/>
                          <w:szCs w:val="22"/>
                          <w:lang w:val="en-US"/>
                        </w:rPr>
                      </w:pPr>
                    </w:p>
                    <w:p w14:paraId="289D3451" w14:textId="2522B9CA" w:rsidR="00547F4F" w:rsidRPr="00022147" w:rsidRDefault="00547F4F">
                      <w:pPr>
                        <w:rPr>
                          <w:rFonts w:ascii="Gudea" w:hAnsi="Gudea"/>
                          <w:color w:val="162D4C"/>
                          <w:sz w:val="26"/>
                          <w:szCs w:val="22"/>
                          <w:lang w:val="en-US"/>
                        </w:rPr>
                      </w:pPr>
                      <w:r w:rsidRPr="007F67DA">
                        <w:rPr>
                          <w:rFonts w:ascii="Gudea" w:hAnsi="Gudea"/>
                          <w:color w:val="162D4C"/>
                          <w:sz w:val="26"/>
                          <w:szCs w:val="22"/>
                          <w:lang w:val="en-US"/>
                        </w:rPr>
                        <w:t xml:space="preserve">The report </w:t>
                      </w:r>
                      <w:r w:rsidR="007F67DA" w:rsidRPr="007F67DA">
                        <w:rPr>
                          <w:rFonts w:ascii="Gudea" w:hAnsi="Gudea"/>
                          <w:color w:val="162D4C"/>
                          <w:sz w:val="26"/>
                          <w:szCs w:val="22"/>
                          <w:lang w:val="en-US"/>
                        </w:rPr>
                        <w:t>constitute</w:t>
                      </w:r>
                      <w:r w:rsidR="00CF7491">
                        <w:rPr>
                          <w:rFonts w:ascii="Gudea" w:hAnsi="Gudea"/>
                          <w:color w:val="162D4C"/>
                          <w:sz w:val="26"/>
                          <w:szCs w:val="22"/>
                          <w:lang w:val="en-US"/>
                        </w:rPr>
                        <w:t>s</w:t>
                      </w:r>
                      <w:r w:rsidR="007F67DA" w:rsidRPr="007F67DA">
                        <w:rPr>
                          <w:rFonts w:ascii="Gudea" w:hAnsi="Gudea"/>
                          <w:color w:val="162D4C"/>
                          <w:sz w:val="26"/>
                          <w:szCs w:val="22"/>
                          <w:lang w:val="en-US"/>
                        </w:rPr>
                        <w:t xml:space="preserve"> a part </w:t>
                      </w:r>
                      <w:r w:rsidR="007F67DA" w:rsidRPr="00022147">
                        <w:rPr>
                          <w:rFonts w:ascii="Gudea" w:hAnsi="Gudea"/>
                          <w:color w:val="162D4C"/>
                          <w:sz w:val="26"/>
                          <w:szCs w:val="22"/>
                          <w:lang w:val="en-US"/>
                        </w:rPr>
                        <w:t>of the management commentary on the annual report</w:t>
                      </w:r>
                      <w:r w:rsidRPr="007F67DA">
                        <w:rPr>
                          <w:rFonts w:ascii="Gudea" w:hAnsi="Gudea"/>
                          <w:color w:val="162D4C"/>
                          <w:sz w:val="26"/>
                          <w:szCs w:val="22"/>
                          <w:lang w:val="en-US"/>
                        </w:rPr>
                        <w:t xml:space="preserve"> conce</w:t>
                      </w:r>
                      <w:r w:rsidR="007F67DA" w:rsidRPr="007F67DA">
                        <w:rPr>
                          <w:rFonts w:ascii="Gudea" w:hAnsi="Gudea"/>
                          <w:color w:val="162D4C"/>
                          <w:sz w:val="26"/>
                          <w:szCs w:val="22"/>
                          <w:lang w:val="en-US"/>
                        </w:rPr>
                        <w:t>rning</w:t>
                      </w:r>
                      <w:r w:rsidRPr="007F67DA">
                        <w:rPr>
                          <w:rFonts w:ascii="Gudea" w:hAnsi="Gudea"/>
                          <w:color w:val="162D4C"/>
                          <w:sz w:val="26"/>
                          <w:szCs w:val="22"/>
                          <w:lang w:val="en-US"/>
                        </w:rPr>
                        <w:t xml:space="preserve"> the financial year:</w:t>
                      </w:r>
                    </w:p>
                    <w:p w14:paraId="4331A99F" w14:textId="1EE73120" w:rsidR="003C7816" w:rsidRPr="001F351B" w:rsidRDefault="003C7816">
                      <w:pPr>
                        <w:rPr>
                          <w:rFonts w:ascii="Gudea" w:hAnsi="Gudea"/>
                          <w:b/>
                          <w:bCs/>
                          <w:i/>
                          <w:iCs/>
                          <w:color w:val="162D4C"/>
                          <w:sz w:val="26"/>
                          <w:szCs w:val="22"/>
                        </w:rPr>
                      </w:pPr>
                      <w:r w:rsidRPr="001F351B">
                        <w:rPr>
                          <w:rFonts w:ascii="Gudea" w:hAnsi="Gudea"/>
                          <w:b/>
                          <w:bCs/>
                          <w:i/>
                          <w:iCs/>
                          <w:color w:val="162D4C"/>
                          <w:sz w:val="26"/>
                          <w:szCs w:val="22"/>
                        </w:rPr>
                        <w:t>[</w:t>
                      </w:r>
                      <w:r w:rsidR="00547F4F">
                        <w:rPr>
                          <w:rFonts w:ascii="Gudea" w:hAnsi="Gudea"/>
                          <w:b/>
                          <w:bCs/>
                          <w:i/>
                          <w:iCs/>
                          <w:color w:val="162D4C"/>
                          <w:sz w:val="26"/>
                          <w:szCs w:val="22"/>
                        </w:rPr>
                        <w:t>the company’s financial year</w:t>
                      </w:r>
                      <w:r w:rsidRPr="001F351B">
                        <w:rPr>
                          <w:rFonts w:ascii="Gudea" w:hAnsi="Gudea"/>
                          <w:b/>
                          <w:bCs/>
                          <w:i/>
                          <w:iCs/>
                          <w:color w:val="162D4C"/>
                          <w:sz w:val="26"/>
                          <w:szCs w:val="22"/>
                        </w:rPr>
                        <w:t>]</w:t>
                      </w:r>
                    </w:p>
                  </w:txbxContent>
                </v:textbox>
                <w10:wrap type="square" anchorx="margin"/>
              </v:shape>
            </w:pict>
          </mc:Fallback>
        </mc:AlternateContent>
      </w:r>
      <w:r w:rsidR="00547F4F" w:rsidRPr="00474371">
        <w:rPr>
          <w:rFonts w:ascii="Gudea" w:hAnsi="Gudea"/>
          <w:b/>
          <w:bCs/>
          <w:sz w:val="30"/>
          <w:szCs w:val="30"/>
          <w:lang w:val="en-GB"/>
        </w:rPr>
        <w:t>Statutory report on corporate governance</w:t>
      </w:r>
      <w:r w:rsidR="007E5084" w:rsidRPr="00477EC7">
        <w:rPr>
          <w:rFonts w:ascii="Gudea" w:hAnsi="Gudea"/>
          <w:b/>
          <w:bCs/>
          <w:sz w:val="30"/>
          <w:szCs w:val="30"/>
          <w:lang w:val="en-GB"/>
        </w:rPr>
        <w:t xml:space="preserve">, </w:t>
      </w:r>
      <w:r w:rsidR="00547F4F" w:rsidRPr="009618E9">
        <w:rPr>
          <w:rFonts w:ascii="Gudea" w:hAnsi="Gudea"/>
          <w:b/>
          <w:bCs/>
          <w:sz w:val="30"/>
          <w:szCs w:val="30"/>
          <w:lang w:val="en-GB"/>
        </w:rPr>
        <w:t>c</w:t>
      </w:r>
      <w:r w:rsidR="007E5084" w:rsidRPr="009618E9">
        <w:rPr>
          <w:rFonts w:ascii="Gudea" w:hAnsi="Gudea"/>
          <w:b/>
          <w:bCs/>
          <w:sz w:val="30"/>
          <w:szCs w:val="30"/>
          <w:lang w:val="en-GB"/>
        </w:rPr>
        <w:t xml:space="preserve">f. </w:t>
      </w:r>
      <w:r w:rsidR="00547F4F" w:rsidRPr="009618E9">
        <w:rPr>
          <w:rFonts w:ascii="Gudea" w:hAnsi="Gudea"/>
          <w:b/>
          <w:bCs/>
          <w:sz w:val="30"/>
          <w:szCs w:val="30"/>
          <w:lang w:val="en-GB"/>
        </w:rPr>
        <w:t>section 107 b of the Danish Financial Statements Act</w:t>
      </w:r>
      <w:r w:rsidR="007E5084" w:rsidRPr="009618E9">
        <w:rPr>
          <w:rFonts w:ascii="Gudea" w:hAnsi="Gudea"/>
          <w:b/>
          <w:bCs/>
          <w:sz w:val="30"/>
          <w:szCs w:val="30"/>
          <w:lang w:val="en-GB"/>
        </w:rPr>
        <w:t>.</w:t>
      </w:r>
    </w:p>
    <w:p w14:paraId="4B54E35C" w14:textId="5DAA1F30" w:rsidR="0017524F" w:rsidRPr="009618E9" w:rsidRDefault="00CF7491" w:rsidP="007F6C52">
      <w:pPr>
        <w:rPr>
          <w:rFonts w:ascii="Gudea" w:hAnsi="Gudea"/>
          <w:sz w:val="26"/>
          <w:szCs w:val="22"/>
          <w:lang w:val="en-GB"/>
        </w:rPr>
      </w:pPr>
      <w:r w:rsidRPr="009618E9">
        <w:rPr>
          <w:rFonts w:ascii="Gudea" w:hAnsi="Gudea"/>
          <w:b/>
          <w:bCs/>
          <w:color w:val="162D4C"/>
          <w:sz w:val="30"/>
          <w:szCs w:val="28"/>
          <w:lang w:val="en-GB"/>
        </w:rPr>
        <w:lastRenderedPageBreak/>
        <w:t xml:space="preserve">Danish </w:t>
      </w:r>
      <w:r w:rsidR="00547F4F" w:rsidRPr="009618E9">
        <w:rPr>
          <w:rFonts w:ascii="Gudea" w:hAnsi="Gudea"/>
          <w:b/>
          <w:bCs/>
          <w:color w:val="162D4C"/>
          <w:sz w:val="30"/>
          <w:szCs w:val="28"/>
          <w:lang w:val="en-GB"/>
        </w:rPr>
        <w:t>Recommendations on Corporate Governance</w:t>
      </w:r>
    </w:p>
    <w:tbl>
      <w:tblPr>
        <w:tblStyle w:val="Tabel-Gitter"/>
        <w:tblW w:w="14596" w:type="dxa"/>
        <w:tblLayout w:type="fixed"/>
        <w:tblLook w:val="04A0" w:firstRow="1" w:lastRow="0" w:firstColumn="1" w:lastColumn="0" w:noHBand="0" w:noVBand="1"/>
      </w:tblPr>
      <w:tblGrid>
        <w:gridCol w:w="6091"/>
        <w:gridCol w:w="2835"/>
        <w:gridCol w:w="2835"/>
        <w:gridCol w:w="2835"/>
      </w:tblGrid>
      <w:tr w:rsidR="001F351B" w:rsidRPr="009618E9" w14:paraId="26463525" w14:textId="77777777" w:rsidTr="00DE6017">
        <w:trPr>
          <w:trHeight w:val="411"/>
          <w:tblHeader/>
        </w:trPr>
        <w:tc>
          <w:tcPr>
            <w:tcW w:w="6091" w:type="dxa"/>
            <w:tcBorders>
              <w:bottom w:val="nil"/>
              <w:right w:val="nil"/>
            </w:tcBorders>
            <w:shd w:val="clear" w:color="auto" w:fill="162D4C"/>
            <w:vAlign w:val="center"/>
          </w:tcPr>
          <w:p w14:paraId="0577E82A" w14:textId="6945A74A" w:rsidR="001F351B" w:rsidRPr="009618E9" w:rsidRDefault="00547F4F" w:rsidP="006B128A">
            <w:pPr>
              <w:jc w:val="both"/>
              <w:rPr>
                <w:rFonts w:ascii="Gudea" w:hAnsi="Gudea"/>
                <w:b/>
                <w:bCs/>
                <w:sz w:val="36"/>
                <w:szCs w:val="36"/>
                <w:lang w:val="en-GB"/>
              </w:rPr>
            </w:pPr>
            <w:r w:rsidRPr="009618E9">
              <w:rPr>
                <w:rFonts w:ascii="Gudea" w:hAnsi="Gudea"/>
                <w:b/>
                <w:bCs/>
                <w:color w:val="FFFFFF" w:themeColor="background1"/>
                <w:sz w:val="36"/>
                <w:szCs w:val="36"/>
                <w:lang w:val="en-GB"/>
              </w:rPr>
              <w:t xml:space="preserve">Recommendation </w:t>
            </w:r>
          </w:p>
        </w:tc>
        <w:tc>
          <w:tcPr>
            <w:tcW w:w="2835" w:type="dxa"/>
            <w:tcBorders>
              <w:left w:val="nil"/>
              <w:bottom w:val="nil"/>
              <w:right w:val="nil"/>
            </w:tcBorders>
            <w:shd w:val="clear" w:color="auto" w:fill="162D4C"/>
            <w:vAlign w:val="center"/>
          </w:tcPr>
          <w:p w14:paraId="64123DD1" w14:textId="7EDF061E" w:rsidR="001F351B" w:rsidRPr="009618E9" w:rsidRDefault="001366E9" w:rsidP="0027461E">
            <w:pPr>
              <w:jc w:val="center"/>
              <w:rPr>
                <w:rFonts w:ascii="Gudea" w:hAnsi="Gudea"/>
                <w:b/>
                <w:sz w:val="28"/>
                <w:szCs w:val="28"/>
                <w:lang w:val="en-GB"/>
              </w:rPr>
            </w:pPr>
            <w:r w:rsidRPr="009618E9">
              <w:rPr>
                <w:rFonts w:ascii="Gudea" w:hAnsi="Gudea"/>
                <w:b/>
                <w:sz w:val="28"/>
                <w:szCs w:val="28"/>
                <w:lang w:val="en-GB"/>
              </w:rPr>
              <w:t xml:space="preserve">The company </w:t>
            </w:r>
            <w:r w:rsidRPr="009618E9">
              <w:rPr>
                <w:rFonts w:ascii="Gudea" w:hAnsi="Gudea"/>
                <w:b/>
                <w:sz w:val="28"/>
                <w:szCs w:val="28"/>
                <w:u w:val="single"/>
                <w:lang w:val="en-GB"/>
              </w:rPr>
              <w:t>complies</w:t>
            </w:r>
          </w:p>
        </w:tc>
        <w:tc>
          <w:tcPr>
            <w:tcW w:w="5670" w:type="dxa"/>
            <w:gridSpan w:val="2"/>
            <w:tcBorders>
              <w:left w:val="nil"/>
              <w:bottom w:val="nil"/>
              <w:right w:val="nil"/>
            </w:tcBorders>
            <w:shd w:val="clear" w:color="auto" w:fill="162D4C"/>
            <w:vAlign w:val="center"/>
          </w:tcPr>
          <w:p w14:paraId="2ADA5B5C" w14:textId="4856365D" w:rsidR="001F351B" w:rsidRPr="00474371" w:rsidRDefault="001366E9" w:rsidP="00D674D9">
            <w:pPr>
              <w:jc w:val="center"/>
              <w:rPr>
                <w:rFonts w:ascii="Gudea" w:hAnsi="Gudea"/>
                <w:b/>
                <w:color w:val="CCD9DD"/>
                <w:sz w:val="28"/>
                <w:szCs w:val="28"/>
                <w:lang w:val="en-GB"/>
              </w:rPr>
            </w:pPr>
            <w:r w:rsidRPr="009618E9">
              <w:rPr>
                <w:rFonts w:ascii="Gudea" w:hAnsi="Gudea"/>
                <w:b/>
                <w:sz w:val="28"/>
                <w:szCs w:val="28"/>
                <w:lang w:val="en-GB"/>
              </w:rPr>
              <w:t xml:space="preserve">The company </w:t>
            </w:r>
            <w:r w:rsidRPr="009618E9">
              <w:rPr>
                <w:rFonts w:ascii="Gudea" w:hAnsi="Gudea"/>
                <w:b/>
                <w:sz w:val="28"/>
                <w:szCs w:val="28"/>
                <w:u w:val="single"/>
                <w:lang w:val="en-GB"/>
              </w:rPr>
              <w:t>explains</w:t>
            </w:r>
            <w:r w:rsidR="001F351B" w:rsidRPr="00D01827">
              <w:rPr>
                <w:rStyle w:val="Fodnotehenvisning"/>
                <w:rFonts w:ascii="Gudea" w:hAnsi="Gudea"/>
                <w:b/>
                <w:sz w:val="28"/>
                <w:szCs w:val="28"/>
                <w:u w:val="single"/>
                <w:lang w:val="en-GB"/>
              </w:rPr>
              <w:footnoteReference w:id="1"/>
            </w:r>
          </w:p>
        </w:tc>
      </w:tr>
      <w:tr w:rsidR="007B7F94" w:rsidRPr="009618E9" w14:paraId="303EC21A" w14:textId="77777777" w:rsidTr="00DE6017">
        <w:trPr>
          <w:trHeight w:val="439"/>
          <w:tblHeader/>
        </w:trPr>
        <w:tc>
          <w:tcPr>
            <w:tcW w:w="6091" w:type="dxa"/>
            <w:tcBorders>
              <w:top w:val="nil"/>
              <w:bottom w:val="nil"/>
              <w:right w:val="nil"/>
            </w:tcBorders>
            <w:shd w:val="clear" w:color="auto" w:fill="162D4C"/>
            <w:vAlign w:val="center"/>
          </w:tcPr>
          <w:p w14:paraId="6E719545" w14:textId="3A6696CC" w:rsidR="00C45539" w:rsidRPr="00D01827" w:rsidRDefault="00C45539" w:rsidP="0027461E">
            <w:pPr>
              <w:jc w:val="center"/>
              <w:rPr>
                <w:rFonts w:ascii="Gudea" w:hAnsi="Gudea"/>
                <w:lang w:val="en-GB"/>
              </w:rPr>
            </w:pPr>
          </w:p>
        </w:tc>
        <w:tc>
          <w:tcPr>
            <w:tcW w:w="2835" w:type="dxa"/>
            <w:vMerge w:val="restart"/>
            <w:tcBorders>
              <w:top w:val="nil"/>
              <w:left w:val="nil"/>
              <w:bottom w:val="nil"/>
              <w:right w:val="nil"/>
            </w:tcBorders>
            <w:shd w:val="clear" w:color="auto" w:fill="162D4C"/>
            <w:vAlign w:val="center"/>
          </w:tcPr>
          <w:p w14:paraId="16786730" w14:textId="77777777" w:rsidR="00C45539" w:rsidRPr="00D01827" w:rsidRDefault="00C45539" w:rsidP="0027461E">
            <w:pPr>
              <w:jc w:val="center"/>
              <w:rPr>
                <w:rFonts w:ascii="Gudea" w:hAnsi="Gudea"/>
                <w:b/>
                <w:sz w:val="28"/>
                <w:szCs w:val="28"/>
                <w:lang w:val="en-GB"/>
              </w:rPr>
            </w:pPr>
          </w:p>
        </w:tc>
        <w:tc>
          <w:tcPr>
            <w:tcW w:w="2835" w:type="dxa"/>
            <w:vMerge w:val="restart"/>
            <w:tcBorders>
              <w:top w:val="nil"/>
              <w:left w:val="nil"/>
              <w:bottom w:val="nil"/>
              <w:right w:val="nil"/>
            </w:tcBorders>
            <w:shd w:val="clear" w:color="auto" w:fill="162D4C"/>
            <w:vAlign w:val="center"/>
          </w:tcPr>
          <w:p w14:paraId="241B5E4D" w14:textId="4E29BA20" w:rsidR="00C45539" w:rsidRPr="00D01827" w:rsidRDefault="00547F4F" w:rsidP="00D674D9">
            <w:pPr>
              <w:jc w:val="center"/>
              <w:rPr>
                <w:rFonts w:ascii="Gudea" w:hAnsi="Gudea"/>
                <w:b/>
                <w:i/>
                <w:sz w:val="28"/>
                <w:szCs w:val="28"/>
                <w:lang w:val="en-GB"/>
              </w:rPr>
            </w:pPr>
            <w:r w:rsidRPr="00D01827">
              <w:rPr>
                <w:rFonts w:ascii="Gudea" w:hAnsi="Gudea"/>
                <w:b/>
                <w:i/>
                <w:sz w:val="28"/>
                <w:szCs w:val="28"/>
                <w:lang w:val="en-GB"/>
              </w:rPr>
              <w:t>why</w:t>
            </w:r>
          </w:p>
        </w:tc>
        <w:tc>
          <w:tcPr>
            <w:tcW w:w="2835" w:type="dxa"/>
            <w:vMerge w:val="restart"/>
            <w:tcBorders>
              <w:top w:val="nil"/>
              <w:left w:val="nil"/>
              <w:bottom w:val="nil"/>
              <w:right w:val="nil"/>
            </w:tcBorders>
            <w:shd w:val="clear" w:color="auto" w:fill="162D4C"/>
            <w:vAlign w:val="center"/>
          </w:tcPr>
          <w:p w14:paraId="48FD7CD9" w14:textId="31D63272" w:rsidR="00C45539" w:rsidRPr="00D01827" w:rsidRDefault="00547F4F" w:rsidP="0027461E">
            <w:pPr>
              <w:jc w:val="center"/>
              <w:rPr>
                <w:rFonts w:ascii="Gudea" w:hAnsi="Gudea"/>
                <w:b/>
                <w:i/>
                <w:sz w:val="28"/>
                <w:szCs w:val="28"/>
                <w:lang w:val="en-GB"/>
              </w:rPr>
            </w:pPr>
            <w:r w:rsidRPr="00D01827">
              <w:rPr>
                <w:rFonts w:ascii="Gudea" w:hAnsi="Gudea"/>
                <w:b/>
                <w:i/>
                <w:sz w:val="28"/>
                <w:szCs w:val="28"/>
                <w:lang w:val="en-GB"/>
              </w:rPr>
              <w:t>how</w:t>
            </w:r>
          </w:p>
        </w:tc>
      </w:tr>
      <w:tr w:rsidR="007B7F94" w:rsidRPr="009618E9" w14:paraId="24E5F560" w14:textId="77777777" w:rsidTr="00DE6017">
        <w:trPr>
          <w:trHeight w:val="380"/>
        </w:trPr>
        <w:tc>
          <w:tcPr>
            <w:tcW w:w="6091" w:type="dxa"/>
            <w:tcBorders>
              <w:top w:val="nil"/>
              <w:bottom w:val="nil"/>
              <w:right w:val="nil"/>
            </w:tcBorders>
            <w:shd w:val="clear" w:color="auto" w:fill="162D4C"/>
            <w:vAlign w:val="center"/>
          </w:tcPr>
          <w:p w14:paraId="3C4ECF5A" w14:textId="3A6A20BF" w:rsidR="00C45539" w:rsidRPr="00D01827" w:rsidRDefault="00C45539" w:rsidP="0027461E">
            <w:pPr>
              <w:jc w:val="both"/>
              <w:rPr>
                <w:rFonts w:ascii="Gudea" w:hAnsi="Gudea"/>
                <w:b/>
                <w:bCs/>
                <w:color w:val="CC9764"/>
                <w:sz w:val="22"/>
                <w:lang w:val="en-GB"/>
              </w:rPr>
            </w:pPr>
          </w:p>
        </w:tc>
        <w:tc>
          <w:tcPr>
            <w:tcW w:w="2835" w:type="dxa"/>
            <w:vMerge/>
            <w:tcBorders>
              <w:top w:val="nil"/>
              <w:left w:val="nil"/>
              <w:bottom w:val="nil"/>
              <w:right w:val="nil"/>
            </w:tcBorders>
            <w:shd w:val="clear" w:color="auto" w:fill="162D4C"/>
            <w:vAlign w:val="center"/>
          </w:tcPr>
          <w:p w14:paraId="36757A40" w14:textId="77777777" w:rsidR="00C45539" w:rsidRPr="00D01827" w:rsidRDefault="00C45539" w:rsidP="0027461E">
            <w:pPr>
              <w:jc w:val="both"/>
              <w:rPr>
                <w:rFonts w:ascii="Gudea" w:hAnsi="Gudea"/>
                <w:b/>
                <w:bCs/>
                <w:color w:val="CC9764"/>
                <w:sz w:val="22"/>
                <w:lang w:val="en-GB"/>
              </w:rPr>
            </w:pPr>
          </w:p>
        </w:tc>
        <w:tc>
          <w:tcPr>
            <w:tcW w:w="2835" w:type="dxa"/>
            <w:vMerge/>
            <w:tcBorders>
              <w:top w:val="nil"/>
              <w:left w:val="nil"/>
              <w:bottom w:val="nil"/>
              <w:right w:val="nil"/>
            </w:tcBorders>
            <w:shd w:val="clear" w:color="auto" w:fill="162D4C"/>
            <w:vAlign w:val="center"/>
          </w:tcPr>
          <w:p w14:paraId="53DFB8D3" w14:textId="77777777" w:rsidR="00C45539" w:rsidRPr="00D01827" w:rsidRDefault="00C45539" w:rsidP="0027461E">
            <w:pPr>
              <w:jc w:val="both"/>
              <w:rPr>
                <w:rFonts w:ascii="Gudea" w:hAnsi="Gudea"/>
                <w:b/>
                <w:bCs/>
                <w:color w:val="CC9764"/>
                <w:sz w:val="22"/>
                <w:lang w:val="en-GB"/>
              </w:rPr>
            </w:pPr>
          </w:p>
        </w:tc>
        <w:tc>
          <w:tcPr>
            <w:tcW w:w="2835" w:type="dxa"/>
            <w:vMerge/>
            <w:tcBorders>
              <w:top w:val="nil"/>
              <w:left w:val="nil"/>
              <w:bottom w:val="nil"/>
              <w:right w:val="nil"/>
            </w:tcBorders>
            <w:shd w:val="clear" w:color="auto" w:fill="162D4C"/>
            <w:vAlign w:val="center"/>
          </w:tcPr>
          <w:p w14:paraId="579EAEE0" w14:textId="79A4A4AF" w:rsidR="00C45539" w:rsidRPr="00D01827" w:rsidRDefault="00C45539" w:rsidP="0027461E">
            <w:pPr>
              <w:jc w:val="both"/>
              <w:rPr>
                <w:rFonts w:ascii="Gudea" w:hAnsi="Gudea"/>
                <w:b/>
                <w:bCs/>
                <w:color w:val="CC9764"/>
                <w:sz w:val="22"/>
                <w:lang w:val="en-GB"/>
              </w:rPr>
            </w:pPr>
          </w:p>
        </w:tc>
      </w:tr>
      <w:tr w:rsidR="00C45539" w:rsidRPr="00F0467F" w14:paraId="0DEADE8D" w14:textId="77777777" w:rsidTr="00DE6017">
        <w:trPr>
          <w:trHeight w:val="380"/>
        </w:trPr>
        <w:tc>
          <w:tcPr>
            <w:tcW w:w="14596" w:type="dxa"/>
            <w:gridSpan w:val="4"/>
            <w:tcBorders>
              <w:top w:val="nil"/>
              <w:bottom w:val="nil"/>
              <w:right w:val="nil"/>
            </w:tcBorders>
            <w:shd w:val="clear" w:color="auto" w:fill="162D4C"/>
            <w:vAlign w:val="center"/>
          </w:tcPr>
          <w:p w14:paraId="067692D0" w14:textId="11EA73D6" w:rsidR="00C45539" w:rsidRPr="00D01827" w:rsidRDefault="00C45539" w:rsidP="006128C6">
            <w:pPr>
              <w:spacing w:before="120" w:after="240"/>
              <w:jc w:val="both"/>
              <w:rPr>
                <w:rFonts w:ascii="Gudea" w:hAnsi="Gudea"/>
                <w:color w:val="FFFFFF" w:themeColor="background1"/>
                <w:szCs w:val="24"/>
                <w:lang w:val="en-GB"/>
              </w:rPr>
            </w:pPr>
            <w:r w:rsidRPr="00D01827">
              <w:rPr>
                <w:rFonts w:ascii="Gudea" w:hAnsi="Gudea"/>
                <w:b/>
                <w:bCs/>
                <w:color w:val="CC9764"/>
                <w:szCs w:val="24"/>
                <w:lang w:val="en-GB"/>
              </w:rPr>
              <w:t>1.</w:t>
            </w:r>
            <w:r w:rsidR="008C3322" w:rsidRPr="00D01827">
              <w:rPr>
                <w:rFonts w:ascii="Gudea" w:hAnsi="Gudea"/>
                <w:b/>
                <w:bCs/>
                <w:color w:val="CC9764"/>
                <w:szCs w:val="24"/>
                <w:lang w:val="en-GB"/>
              </w:rPr>
              <w:t xml:space="preserve"> Interaction with the company’s shareholders, investors and other stakeholders</w:t>
            </w:r>
          </w:p>
        </w:tc>
      </w:tr>
      <w:tr w:rsidR="00C45539" w:rsidRPr="00F0467F" w14:paraId="5728FB65" w14:textId="77777777" w:rsidTr="00DE6017">
        <w:trPr>
          <w:trHeight w:val="380"/>
        </w:trPr>
        <w:tc>
          <w:tcPr>
            <w:tcW w:w="14596" w:type="dxa"/>
            <w:gridSpan w:val="4"/>
            <w:tcBorders>
              <w:top w:val="nil"/>
              <w:right w:val="nil"/>
            </w:tcBorders>
            <w:shd w:val="clear" w:color="auto" w:fill="162D4C"/>
            <w:vAlign w:val="center"/>
          </w:tcPr>
          <w:p w14:paraId="373DC12F" w14:textId="67B2B6DB" w:rsidR="00C45539" w:rsidRPr="00D01827" w:rsidRDefault="009618E9" w:rsidP="00474371">
            <w:pPr>
              <w:spacing w:before="120" w:after="120"/>
              <w:jc w:val="both"/>
              <w:rPr>
                <w:rFonts w:ascii="Gudea" w:hAnsi="Gudea"/>
                <w:b/>
                <w:color w:val="FFFFFF" w:themeColor="background1"/>
                <w:sz w:val="22"/>
                <w:szCs w:val="22"/>
                <w:lang w:val="en-GB"/>
              </w:rPr>
            </w:pPr>
            <w:r>
              <w:rPr>
                <w:rFonts w:ascii="Gudea" w:hAnsi="Gudea"/>
                <w:b/>
                <w:color w:val="FFFFFF" w:themeColor="background1"/>
                <w:sz w:val="22"/>
                <w:szCs w:val="22"/>
                <w:lang w:val="en-GB"/>
              </w:rPr>
              <w:t xml:space="preserve">1.1. </w:t>
            </w:r>
            <w:r w:rsidRPr="00D01827">
              <w:rPr>
                <w:rFonts w:ascii="Gudea" w:hAnsi="Gudea"/>
                <w:b/>
                <w:color w:val="FFFFFF" w:themeColor="background1"/>
                <w:sz w:val="22"/>
                <w:szCs w:val="22"/>
                <w:lang w:val="en-GB"/>
              </w:rPr>
              <w:t>Communication with the company’s shareholders, investors and other stakeholders</w:t>
            </w:r>
          </w:p>
        </w:tc>
      </w:tr>
      <w:tr w:rsidR="001F351B" w:rsidRPr="00F0467F" w14:paraId="25C27BE4" w14:textId="77777777" w:rsidTr="006128C6">
        <w:trPr>
          <w:trHeight w:val="20"/>
        </w:trPr>
        <w:tc>
          <w:tcPr>
            <w:tcW w:w="6091" w:type="dxa"/>
            <w:tcBorders>
              <w:bottom w:val="single" w:sz="4" w:space="0" w:color="auto"/>
            </w:tcBorders>
            <w:shd w:val="clear" w:color="auto" w:fill="auto"/>
            <w:vAlign w:val="center"/>
          </w:tcPr>
          <w:p w14:paraId="25033087" w14:textId="46AEDFA0" w:rsidR="001F351B" w:rsidRPr="00D01827" w:rsidRDefault="00C9156A" w:rsidP="007421E6">
            <w:pPr>
              <w:spacing w:before="120" w:after="120"/>
              <w:jc w:val="both"/>
              <w:rPr>
                <w:rFonts w:ascii="Gudea" w:hAnsi="Gudea"/>
                <w:b/>
                <w:bCs/>
                <w:color w:val="162D4C"/>
                <w:sz w:val="20"/>
                <w:lang w:val="en-GB"/>
              </w:rPr>
            </w:pPr>
            <w:r w:rsidRPr="00C9156A">
              <w:rPr>
                <w:rFonts w:ascii="Gudea" w:hAnsi="Gudea"/>
                <w:b/>
                <w:bCs/>
                <w:color w:val="162D4C"/>
                <w:sz w:val="20"/>
                <w:lang w:val="en-GB"/>
              </w:rPr>
              <w:t>1.1.1. The Committee recommends</w:t>
            </w:r>
            <w:r w:rsidRPr="00C9156A">
              <w:rPr>
                <w:rFonts w:ascii="Gudea" w:hAnsi="Gudea"/>
                <w:color w:val="162D4C"/>
                <w:sz w:val="20"/>
                <w:lang w:val="en-GB"/>
              </w:rPr>
              <w:t xml:space="preserve"> that the management through ongoing dialogue and interaction ensures that shareholders, investors and other stakeholders gain the relevant insight into the company's affairs, and that the board of directors obtains the possibility of hearing and including their views in its work.</w:t>
            </w:r>
          </w:p>
        </w:tc>
        <w:tc>
          <w:tcPr>
            <w:tcW w:w="2835" w:type="dxa"/>
            <w:tcBorders>
              <w:bottom w:val="single" w:sz="4" w:space="0" w:color="auto"/>
            </w:tcBorders>
            <w:vAlign w:val="center"/>
          </w:tcPr>
          <w:p w14:paraId="06697DEB" w14:textId="254C3BC9" w:rsidR="001F351B" w:rsidRPr="00D01827" w:rsidRDefault="001F351B" w:rsidP="006128C6">
            <w:pPr>
              <w:spacing w:before="120" w:after="120"/>
              <w:rPr>
                <w:rFonts w:ascii="Gudea" w:hAnsi="Gudea"/>
                <w:sz w:val="20"/>
                <w:lang w:val="en-GB"/>
              </w:rPr>
            </w:pPr>
          </w:p>
        </w:tc>
        <w:tc>
          <w:tcPr>
            <w:tcW w:w="2835" w:type="dxa"/>
            <w:tcBorders>
              <w:bottom w:val="single" w:sz="4" w:space="0" w:color="auto"/>
              <w:right w:val="single" w:sz="4" w:space="0" w:color="auto"/>
            </w:tcBorders>
            <w:vAlign w:val="center"/>
          </w:tcPr>
          <w:p w14:paraId="18104FCE" w14:textId="77777777" w:rsidR="001F351B" w:rsidRPr="00D01827" w:rsidRDefault="001F351B" w:rsidP="006128C6">
            <w:pPr>
              <w:spacing w:before="120" w:after="120"/>
              <w:rPr>
                <w:rFonts w:ascii="Gudea" w:hAnsi="Gudea"/>
                <w:sz w:val="20"/>
                <w:lang w:val="en-GB"/>
              </w:rPr>
            </w:pPr>
          </w:p>
        </w:tc>
        <w:tc>
          <w:tcPr>
            <w:tcW w:w="2835" w:type="dxa"/>
            <w:tcBorders>
              <w:left w:val="single" w:sz="4" w:space="0" w:color="auto"/>
              <w:bottom w:val="single" w:sz="4" w:space="0" w:color="auto"/>
            </w:tcBorders>
            <w:vAlign w:val="center"/>
          </w:tcPr>
          <w:p w14:paraId="44D2447D" w14:textId="77777777" w:rsidR="001F351B" w:rsidRPr="00D01827" w:rsidRDefault="001F351B" w:rsidP="006128C6">
            <w:pPr>
              <w:spacing w:before="120" w:after="120"/>
              <w:rPr>
                <w:rFonts w:ascii="Gudea" w:hAnsi="Gudea"/>
                <w:sz w:val="20"/>
                <w:lang w:val="en-GB"/>
              </w:rPr>
            </w:pPr>
          </w:p>
        </w:tc>
      </w:tr>
      <w:tr w:rsidR="00A235A9" w:rsidRPr="00F0467F" w14:paraId="7E1037E2" w14:textId="77777777" w:rsidTr="006128C6">
        <w:trPr>
          <w:trHeight w:val="20"/>
        </w:trPr>
        <w:tc>
          <w:tcPr>
            <w:tcW w:w="6091" w:type="dxa"/>
            <w:tcBorders>
              <w:bottom w:val="single" w:sz="4" w:space="0" w:color="auto"/>
            </w:tcBorders>
            <w:shd w:val="clear" w:color="auto" w:fill="auto"/>
            <w:vAlign w:val="center"/>
          </w:tcPr>
          <w:p w14:paraId="36BE3BC2" w14:textId="3FB33DEA" w:rsidR="00A235A9" w:rsidRPr="00D01827" w:rsidRDefault="00C9156A" w:rsidP="007421E6">
            <w:pPr>
              <w:spacing w:before="120" w:after="120"/>
              <w:jc w:val="both"/>
              <w:rPr>
                <w:rFonts w:ascii="Gudea" w:hAnsi="Gudea"/>
                <w:b/>
                <w:bCs/>
                <w:color w:val="162D4C"/>
                <w:sz w:val="20"/>
                <w:lang w:val="en-GB"/>
              </w:rPr>
            </w:pPr>
            <w:r w:rsidRPr="00C9156A">
              <w:rPr>
                <w:rFonts w:ascii="Gudea" w:hAnsi="Gudea"/>
                <w:b/>
                <w:bCs/>
                <w:color w:val="162D4C"/>
                <w:sz w:val="20"/>
                <w:lang w:val="en-GB"/>
              </w:rPr>
              <w:t xml:space="preserve">1.1.2. The Committee recommends </w:t>
            </w:r>
            <w:r w:rsidRPr="00C9156A">
              <w:rPr>
                <w:rFonts w:ascii="Gudea" w:hAnsi="Gudea"/>
                <w:color w:val="162D4C"/>
                <w:sz w:val="20"/>
                <w:lang w:val="en-GB"/>
              </w:rPr>
              <w:t>that the company adopts policies on the company’s relationships with its shareholders, investors and if relevant other stakeholders in order to ensure that the various interests are included in the company’s considerations and that such policies are made available on the company’s website.</w:t>
            </w:r>
          </w:p>
        </w:tc>
        <w:tc>
          <w:tcPr>
            <w:tcW w:w="2835" w:type="dxa"/>
            <w:tcBorders>
              <w:bottom w:val="single" w:sz="4" w:space="0" w:color="auto"/>
            </w:tcBorders>
            <w:vAlign w:val="center"/>
          </w:tcPr>
          <w:p w14:paraId="3B074DE7" w14:textId="77777777" w:rsidR="00A235A9" w:rsidRPr="00D01827" w:rsidRDefault="00A235A9" w:rsidP="006128C6">
            <w:pPr>
              <w:spacing w:before="120" w:after="120"/>
              <w:rPr>
                <w:rFonts w:ascii="Gudea" w:hAnsi="Gudea"/>
                <w:sz w:val="20"/>
                <w:lang w:val="en-GB"/>
              </w:rPr>
            </w:pPr>
          </w:p>
        </w:tc>
        <w:tc>
          <w:tcPr>
            <w:tcW w:w="2835" w:type="dxa"/>
            <w:tcBorders>
              <w:bottom w:val="single" w:sz="4" w:space="0" w:color="auto"/>
              <w:right w:val="single" w:sz="4" w:space="0" w:color="auto"/>
            </w:tcBorders>
            <w:vAlign w:val="center"/>
          </w:tcPr>
          <w:p w14:paraId="22447B40" w14:textId="77777777" w:rsidR="00A235A9" w:rsidRPr="00D01827" w:rsidRDefault="00A235A9" w:rsidP="006128C6">
            <w:pPr>
              <w:spacing w:before="120" w:after="120"/>
              <w:rPr>
                <w:rFonts w:ascii="Gudea" w:hAnsi="Gudea"/>
                <w:sz w:val="20"/>
                <w:lang w:val="en-GB"/>
              </w:rPr>
            </w:pPr>
          </w:p>
        </w:tc>
        <w:tc>
          <w:tcPr>
            <w:tcW w:w="2835" w:type="dxa"/>
            <w:tcBorders>
              <w:left w:val="single" w:sz="4" w:space="0" w:color="auto"/>
              <w:bottom w:val="single" w:sz="4" w:space="0" w:color="auto"/>
            </w:tcBorders>
            <w:vAlign w:val="center"/>
          </w:tcPr>
          <w:p w14:paraId="3839020B" w14:textId="77777777" w:rsidR="00A235A9" w:rsidRPr="00D01827" w:rsidRDefault="00A235A9" w:rsidP="006128C6">
            <w:pPr>
              <w:spacing w:before="120" w:after="120"/>
              <w:rPr>
                <w:rFonts w:ascii="Gudea" w:hAnsi="Gudea"/>
                <w:sz w:val="20"/>
                <w:lang w:val="en-GB"/>
              </w:rPr>
            </w:pPr>
          </w:p>
        </w:tc>
      </w:tr>
      <w:tr w:rsidR="00C9156A" w:rsidRPr="00F0467F" w14:paraId="3B97D2CE" w14:textId="77777777" w:rsidTr="00442304">
        <w:trPr>
          <w:trHeight w:val="20"/>
        </w:trPr>
        <w:tc>
          <w:tcPr>
            <w:tcW w:w="6091" w:type="dxa"/>
            <w:tcBorders>
              <w:bottom w:val="single" w:sz="4" w:space="0" w:color="auto"/>
            </w:tcBorders>
            <w:shd w:val="clear" w:color="auto" w:fill="auto"/>
          </w:tcPr>
          <w:p w14:paraId="2E8034A8" w14:textId="72739B97" w:rsidR="00C9156A" w:rsidRPr="00D01827" w:rsidRDefault="00C9156A" w:rsidP="00C9156A">
            <w:pPr>
              <w:spacing w:before="120" w:after="120"/>
              <w:jc w:val="both"/>
              <w:rPr>
                <w:rFonts w:ascii="Gudea" w:hAnsi="Gudea"/>
                <w:b/>
                <w:bCs/>
                <w:color w:val="162D4C"/>
                <w:sz w:val="20"/>
                <w:lang w:val="en-GB"/>
              </w:rPr>
            </w:pPr>
            <w:r w:rsidRPr="00C9156A">
              <w:rPr>
                <w:rFonts w:ascii="Gudea" w:hAnsi="Gudea"/>
                <w:b/>
                <w:bCs/>
                <w:color w:val="162D4C"/>
                <w:sz w:val="20"/>
                <w:lang w:val="en-GB"/>
              </w:rPr>
              <w:t xml:space="preserve">1.1.3. The Committee recommends </w:t>
            </w:r>
            <w:r w:rsidRPr="00C9156A">
              <w:rPr>
                <w:rFonts w:ascii="Gudea" w:hAnsi="Gudea"/>
                <w:color w:val="162D4C"/>
                <w:sz w:val="20"/>
                <w:lang w:val="en-GB"/>
              </w:rPr>
              <w:t>that the company publishes quarterly reports.</w:t>
            </w:r>
          </w:p>
        </w:tc>
        <w:tc>
          <w:tcPr>
            <w:tcW w:w="2835" w:type="dxa"/>
            <w:tcBorders>
              <w:bottom w:val="single" w:sz="4" w:space="0" w:color="auto"/>
            </w:tcBorders>
            <w:vAlign w:val="center"/>
          </w:tcPr>
          <w:p w14:paraId="0770D67E" w14:textId="77777777" w:rsidR="00C9156A" w:rsidRPr="00D01827" w:rsidRDefault="00C9156A" w:rsidP="00C9156A">
            <w:pPr>
              <w:spacing w:before="120" w:after="120"/>
              <w:rPr>
                <w:rFonts w:ascii="Gudea" w:hAnsi="Gudea"/>
                <w:sz w:val="20"/>
                <w:lang w:val="en-GB"/>
              </w:rPr>
            </w:pPr>
          </w:p>
        </w:tc>
        <w:tc>
          <w:tcPr>
            <w:tcW w:w="2835" w:type="dxa"/>
            <w:tcBorders>
              <w:bottom w:val="single" w:sz="4" w:space="0" w:color="auto"/>
              <w:right w:val="single" w:sz="4" w:space="0" w:color="auto"/>
            </w:tcBorders>
            <w:vAlign w:val="center"/>
          </w:tcPr>
          <w:p w14:paraId="0EE161DD" w14:textId="77777777" w:rsidR="00C9156A" w:rsidRPr="00D01827" w:rsidRDefault="00C9156A" w:rsidP="00C9156A">
            <w:pPr>
              <w:spacing w:before="120" w:after="120"/>
              <w:rPr>
                <w:rFonts w:ascii="Gudea" w:hAnsi="Gudea"/>
                <w:sz w:val="20"/>
                <w:lang w:val="en-GB"/>
              </w:rPr>
            </w:pPr>
          </w:p>
        </w:tc>
        <w:tc>
          <w:tcPr>
            <w:tcW w:w="2835" w:type="dxa"/>
            <w:tcBorders>
              <w:left w:val="single" w:sz="4" w:space="0" w:color="auto"/>
              <w:bottom w:val="single" w:sz="4" w:space="0" w:color="auto"/>
            </w:tcBorders>
            <w:vAlign w:val="center"/>
          </w:tcPr>
          <w:p w14:paraId="777416B3" w14:textId="77777777" w:rsidR="00C9156A" w:rsidRPr="00D01827" w:rsidRDefault="00C9156A" w:rsidP="00C9156A">
            <w:pPr>
              <w:spacing w:before="120" w:after="120"/>
              <w:rPr>
                <w:rFonts w:ascii="Gudea" w:hAnsi="Gudea"/>
                <w:sz w:val="20"/>
                <w:lang w:val="en-GB"/>
              </w:rPr>
            </w:pPr>
          </w:p>
        </w:tc>
      </w:tr>
      <w:tr w:rsidR="00C9156A" w:rsidRPr="009618E9" w14:paraId="4EE80019" w14:textId="77777777" w:rsidTr="00DE6017">
        <w:trPr>
          <w:trHeight w:val="379"/>
        </w:trPr>
        <w:tc>
          <w:tcPr>
            <w:tcW w:w="14596" w:type="dxa"/>
            <w:gridSpan w:val="4"/>
            <w:tcBorders>
              <w:right w:val="nil"/>
            </w:tcBorders>
            <w:shd w:val="clear" w:color="auto" w:fill="162D4C"/>
            <w:vAlign w:val="center"/>
          </w:tcPr>
          <w:p w14:paraId="3117A3EF" w14:textId="442A6445" w:rsidR="00C9156A" w:rsidRPr="00D01827" w:rsidRDefault="00C9156A" w:rsidP="00C9156A">
            <w:pPr>
              <w:spacing w:before="120" w:after="120"/>
              <w:jc w:val="both"/>
              <w:rPr>
                <w:rFonts w:ascii="Gudea" w:hAnsi="Gudea"/>
                <w:color w:val="FFFFFF" w:themeColor="background1"/>
                <w:sz w:val="22"/>
                <w:szCs w:val="22"/>
                <w:lang w:val="en-GB"/>
              </w:rPr>
            </w:pPr>
            <w:r w:rsidRPr="00474371">
              <w:rPr>
                <w:rFonts w:ascii="Gudea" w:hAnsi="Gudea"/>
                <w:b/>
                <w:color w:val="FFFFFF" w:themeColor="background1"/>
                <w:sz w:val="22"/>
                <w:szCs w:val="22"/>
                <w:lang w:val="en-GB"/>
              </w:rPr>
              <w:t xml:space="preserve">1.2. </w:t>
            </w:r>
            <w:r w:rsidRPr="00D01827">
              <w:rPr>
                <w:rFonts w:ascii="Gudea" w:hAnsi="Gudea"/>
                <w:b/>
                <w:color w:val="FFFFFF" w:themeColor="background1"/>
                <w:sz w:val="22"/>
                <w:szCs w:val="22"/>
                <w:lang w:val="en-GB"/>
              </w:rPr>
              <w:t>The general meeting</w:t>
            </w:r>
          </w:p>
        </w:tc>
      </w:tr>
      <w:tr w:rsidR="00C9156A" w:rsidRPr="00F0467F" w14:paraId="452FCC54" w14:textId="77777777" w:rsidTr="006128C6">
        <w:trPr>
          <w:trHeight w:val="20"/>
        </w:trPr>
        <w:tc>
          <w:tcPr>
            <w:tcW w:w="6091" w:type="dxa"/>
            <w:shd w:val="clear" w:color="auto" w:fill="auto"/>
            <w:vAlign w:val="center"/>
          </w:tcPr>
          <w:p w14:paraId="35588B6F" w14:textId="47B0D177" w:rsidR="00C9156A" w:rsidRPr="00D01827" w:rsidRDefault="00C9156A" w:rsidP="00C9156A">
            <w:pPr>
              <w:spacing w:before="120" w:after="120"/>
              <w:jc w:val="both"/>
              <w:rPr>
                <w:rFonts w:ascii="Gudea" w:hAnsi="Gudea"/>
                <w:b/>
                <w:bCs/>
                <w:color w:val="162D4C"/>
                <w:sz w:val="20"/>
                <w:lang w:val="en-GB"/>
              </w:rPr>
            </w:pPr>
            <w:r w:rsidRPr="00C9156A">
              <w:rPr>
                <w:rFonts w:ascii="Gudea" w:hAnsi="Gudea"/>
                <w:b/>
                <w:bCs/>
                <w:color w:val="162D4C"/>
                <w:sz w:val="20"/>
                <w:lang w:val="en-GB"/>
              </w:rPr>
              <w:t xml:space="preserve">1.2.1. The Committee recommends </w:t>
            </w:r>
            <w:r w:rsidRPr="00C9156A">
              <w:rPr>
                <w:rFonts w:ascii="Gudea" w:hAnsi="Gudea"/>
                <w:color w:val="162D4C"/>
                <w:sz w:val="20"/>
                <w:lang w:val="en-GB"/>
              </w:rPr>
              <w:t>that the board of directors organises the company’s general meeting in a manner that allows shareholders, who are unable to attend the meeting in person or are represented by</w:t>
            </w:r>
            <w:r w:rsidRPr="00C9156A">
              <w:rPr>
                <w:rFonts w:ascii="Gudea" w:hAnsi="Gudea"/>
                <w:b/>
                <w:bCs/>
                <w:color w:val="162D4C"/>
                <w:sz w:val="20"/>
                <w:lang w:val="en-GB"/>
              </w:rPr>
              <w:t xml:space="preserve"> </w:t>
            </w:r>
            <w:r w:rsidRPr="00C9156A">
              <w:rPr>
                <w:rFonts w:ascii="Gudea" w:hAnsi="Gudea"/>
                <w:color w:val="162D4C"/>
                <w:sz w:val="20"/>
                <w:lang w:val="en-GB"/>
              </w:rPr>
              <w:lastRenderedPageBreak/>
              <w:t>proxy at the general meeting, to vote and raise questions to the management prior to or at the general meeting. The Committee recommends that the board of directors ensures that shareholders can observe the general meeting via webcast or other digital transmission.</w:t>
            </w:r>
          </w:p>
        </w:tc>
        <w:tc>
          <w:tcPr>
            <w:tcW w:w="2835" w:type="dxa"/>
            <w:vAlign w:val="center"/>
          </w:tcPr>
          <w:p w14:paraId="20E9FEB0" w14:textId="5157A604" w:rsidR="00C9156A" w:rsidRPr="00D01827" w:rsidRDefault="00C9156A" w:rsidP="00C9156A">
            <w:pPr>
              <w:spacing w:before="120" w:after="120"/>
              <w:rPr>
                <w:rFonts w:ascii="Gudea" w:hAnsi="Gudea"/>
                <w:sz w:val="20"/>
                <w:lang w:val="en-GB"/>
              </w:rPr>
            </w:pPr>
          </w:p>
        </w:tc>
        <w:tc>
          <w:tcPr>
            <w:tcW w:w="2835" w:type="dxa"/>
            <w:tcBorders>
              <w:bottom w:val="single" w:sz="4" w:space="0" w:color="auto"/>
              <w:right w:val="single" w:sz="4" w:space="0" w:color="auto"/>
            </w:tcBorders>
            <w:vAlign w:val="center"/>
          </w:tcPr>
          <w:p w14:paraId="4BDC65DA" w14:textId="77777777" w:rsidR="00C9156A" w:rsidRPr="00D01827" w:rsidRDefault="00C9156A" w:rsidP="00C9156A">
            <w:pPr>
              <w:spacing w:before="120" w:after="120"/>
              <w:rPr>
                <w:rFonts w:ascii="Gudea" w:hAnsi="Gudea"/>
                <w:sz w:val="20"/>
                <w:lang w:val="en-GB"/>
              </w:rPr>
            </w:pPr>
          </w:p>
        </w:tc>
        <w:tc>
          <w:tcPr>
            <w:tcW w:w="2835" w:type="dxa"/>
            <w:tcBorders>
              <w:left w:val="single" w:sz="4" w:space="0" w:color="auto"/>
            </w:tcBorders>
            <w:vAlign w:val="center"/>
          </w:tcPr>
          <w:p w14:paraId="613C33B6" w14:textId="113ADA78" w:rsidR="00C9156A" w:rsidRPr="00D01827" w:rsidRDefault="00C9156A" w:rsidP="00C9156A">
            <w:pPr>
              <w:spacing w:before="120" w:after="120"/>
              <w:rPr>
                <w:rFonts w:ascii="Gudea" w:hAnsi="Gudea"/>
                <w:sz w:val="20"/>
                <w:lang w:val="en-GB"/>
              </w:rPr>
            </w:pPr>
          </w:p>
        </w:tc>
      </w:tr>
      <w:tr w:rsidR="00C9156A" w:rsidRPr="00F0467F" w14:paraId="19AA2C75" w14:textId="77777777" w:rsidTr="006128C6">
        <w:trPr>
          <w:trHeight w:val="20"/>
        </w:trPr>
        <w:tc>
          <w:tcPr>
            <w:tcW w:w="6091" w:type="dxa"/>
            <w:shd w:val="clear" w:color="auto" w:fill="auto"/>
            <w:vAlign w:val="center"/>
          </w:tcPr>
          <w:p w14:paraId="5BDBC6DD" w14:textId="32EB7085" w:rsidR="00C9156A" w:rsidRPr="00D01827" w:rsidRDefault="00C9156A" w:rsidP="00C9156A">
            <w:pPr>
              <w:spacing w:before="120" w:after="120"/>
              <w:jc w:val="both"/>
              <w:rPr>
                <w:rFonts w:ascii="Gudea" w:hAnsi="Gudea"/>
                <w:color w:val="162D4C"/>
                <w:sz w:val="20"/>
                <w:lang w:val="en-GB"/>
              </w:rPr>
            </w:pPr>
            <w:r w:rsidRPr="00C9156A">
              <w:rPr>
                <w:rFonts w:ascii="Gudea" w:hAnsi="Gudea"/>
                <w:b/>
                <w:bCs/>
                <w:color w:val="162D4C"/>
                <w:sz w:val="20"/>
                <w:lang w:val="en-GB"/>
              </w:rPr>
              <w:t xml:space="preserve">1.2.2. The Committee recommends </w:t>
            </w:r>
            <w:r w:rsidRPr="00C9156A">
              <w:rPr>
                <w:rFonts w:ascii="Gudea" w:hAnsi="Gudea"/>
                <w:color w:val="162D4C"/>
                <w:sz w:val="20"/>
                <w:lang w:val="en-GB"/>
              </w:rPr>
              <w:t>that proxies and postal votes to be used at the general meeting enable the shareholders to consider each individual item on the agenda.</w:t>
            </w:r>
          </w:p>
        </w:tc>
        <w:tc>
          <w:tcPr>
            <w:tcW w:w="2835" w:type="dxa"/>
            <w:vAlign w:val="center"/>
          </w:tcPr>
          <w:p w14:paraId="1968E6F3" w14:textId="77777777" w:rsidR="00C9156A" w:rsidRPr="00D01827" w:rsidRDefault="00C9156A" w:rsidP="00C9156A">
            <w:pPr>
              <w:spacing w:before="120" w:after="120"/>
              <w:rPr>
                <w:rFonts w:ascii="Gudea" w:hAnsi="Gudea"/>
                <w:sz w:val="20"/>
                <w:lang w:val="en-GB"/>
              </w:rPr>
            </w:pPr>
          </w:p>
        </w:tc>
        <w:tc>
          <w:tcPr>
            <w:tcW w:w="2835" w:type="dxa"/>
            <w:tcBorders>
              <w:bottom w:val="single" w:sz="4" w:space="0" w:color="auto"/>
              <w:right w:val="single" w:sz="4" w:space="0" w:color="auto"/>
            </w:tcBorders>
          </w:tcPr>
          <w:p w14:paraId="6870C9DF" w14:textId="77777777" w:rsidR="00C9156A" w:rsidRPr="00D01827" w:rsidRDefault="00C9156A" w:rsidP="00C9156A">
            <w:pPr>
              <w:spacing w:before="120" w:after="120"/>
              <w:rPr>
                <w:rFonts w:ascii="Gudea" w:hAnsi="Gudea"/>
                <w:sz w:val="20"/>
                <w:lang w:val="en-GB"/>
              </w:rPr>
            </w:pPr>
          </w:p>
        </w:tc>
        <w:tc>
          <w:tcPr>
            <w:tcW w:w="2835" w:type="dxa"/>
            <w:tcBorders>
              <w:left w:val="single" w:sz="4" w:space="0" w:color="auto"/>
            </w:tcBorders>
          </w:tcPr>
          <w:p w14:paraId="49FD68CC" w14:textId="77777777" w:rsidR="00C9156A" w:rsidRPr="00D01827" w:rsidRDefault="00C9156A" w:rsidP="00C9156A">
            <w:pPr>
              <w:spacing w:before="120" w:after="120"/>
              <w:rPr>
                <w:rFonts w:ascii="Gudea" w:hAnsi="Gudea"/>
                <w:sz w:val="20"/>
                <w:lang w:val="en-GB"/>
              </w:rPr>
            </w:pPr>
          </w:p>
        </w:tc>
      </w:tr>
      <w:tr w:rsidR="00C9156A" w:rsidRPr="009618E9" w14:paraId="2E8A7518" w14:textId="77777777" w:rsidTr="00DE6017">
        <w:trPr>
          <w:trHeight w:val="420"/>
        </w:trPr>
        <w:tc>
          <w:tcPr>
            <w:tcW w:w="14596" w:type="dxa"/>
            <w:gridSpan w:val="4"/>
            <w:tcBorders>
              <w:right w:val="nil"/>
            </w:tcBorders>
            <w:shd w:val="clear" w:color="auto" w:fill="162D4C"/>
            <w:vAlign w:val="center"/>
          </w:tcPr>
          <w:p w14:paraId="6B222C33" w14:textId="217837C3" w:rsidR="00C9156A" w:rsidRPr="00D01827" w:rsidRDefault="00C9156A" w:rsidP="00C9156A">
            <w:pPr>
              <w:spacing w:before="120" w:after="120"/>
              <w:jc w:val="both"/>
              <w:rPr>
                <w:rFonts w:ascii="Gudea" w:hAnsi="Gudea"/>
                <w:color w:val="FFFFFF" w:themeColor="background1"/>
                <w:sz w:val="22"/>
                <w:szCs w:val="22"/>
                <w:lang w:val="en-GB"/>
              </w:rPr>
            </w:pPr>
            <w:bookmarkStart w:id="1" w:name="_Hlk35516535"/>
            <w:r w:rsidRPr="00D01827">
              <w:rPr>
                <w:rFonts w:ascii="Gudea" w:hAnsi="Gudea"/>
                <w:b/>
                <w:color w:val="FFFFFF" w:themeColor="background1"/>
                <w:sz w:val="22"/>
                <w:szCs w:val="22"/>
                <w:lang w:val="en-GB"/>
              </w:rPr>
              <w:t>1.</w:t>
            </w:r>
            <w:r>
              <w:rPr>
                <w:rFonts w:ascii="Gudea" w:hAnsi="Gudea"/>
                <w:b/>
                <w:color w:val="FFFFFF" w:themeColor="background1"/>
                <w:sz w:val="22"/>
                <w:szCs w:val="22"/>
                <w:lang w:val="en-GB"/>
              </w:rPr>
              <w:t xml:space="preserve">3. </w:t>
            </w:r>
            <w:r w:rsidRPr="009618E9">
              <w:rPr>
                <w:rFonts w:ascii="Gudea" w:hAnsi="Gudea"/>
                <w:b/>
                <w:color w:val="FFFFFF" w:themeColor="background1"/>
                <w:sz w:val="22"/>
                <w:szCs w:val="22"/>
                <w:lang w:val="en-GB"/>
              </w:rPr>
              <w:t>Takeover bids</w:t>
            </w:r>
          </w:p>
        </w:tc>
      </w:tr>
      <w:tr w:rsidR="00C9156A" w:rsidRPr="00F0467F" w14:paraId="1BE3545D" w14:textId="77777777" w:rsidTr="007421E6">
        <w:trPr>
          <w:trHeight w:val="20"/>
        </w:trPr>
        <w:tc>
          <w:tcPr>
            <w:tcW w:w="6091" w:type="dxa"/>
            <w:vAlign w:val="center"/>
          </w:tcPr>
          <w:p w14:paraId="10BAF463" w14:textId="4FA8563E" w:rsidR="00C9156A" w:rsidRPr="00D01827" w:rsidRDefault="009F636D" w:rsidP="00C9156A">
            <w:pPr>
              <w:spacing w:before="120" w:after="120"/>
              <w:jc w:val="both"/>
              <w:rPr>
                <w:rFonts w:ascii="Gudea" w:hAnsi="Gudea"/>
                <w:color w:val="162D4C"/>
                <w:sz w:val="20"/>
                <w:lang w:val="en-GB"/>
              </w:rPr>
            </w:pPr>
            <w:r w:rsidRPr="009F636D">
              <w:rPr>
                <w:rFonts w:ascii="Gudea" w:hAnsi="Gudea"/>
                <w:b/>
                <w:bCs/>
                <w:color w:val="162D4C"/>
                <w:sz w:val="20"/>
                <w:lang w:val="en-GB"/>
              </w:rPr>
              <w:t xml:space="preserve">1.3.1. The Committee recommends </w:t>
            </w:r>
            <w:r w:rsidRPr="009F636D">
              <w:rPr>
                <w:rFonts w:ascii="Gudea" w:hAnsi="Gudea"/>
                <w:color w:val="162D4C"/>
                <w:sz w:val="20"/>
                <w:lang w:val="en-GB"/>
              </w:rPr>
              <w:t>that the company has a procedure in place in the event of takeover bids, containing a “road map” covering matters for the board of directors to consider in the event of a takeover bid, or if the board of directors obtains reasonable grounds to suspect that a takeover bid may be submitted. In addition, it is recommended that it appears from the procedure that the board of directors abstains from countering any takeover bids by taking actions that seek to prevent the shareholders from deciding on the takeover bid, without the approval of the general meeting.</w:t>
            </w:r>
          </w:p>
        </w:tc>
        <w:tc>
          <w:tcPr>
            <w:tcW w:w="2835" w:type="dxa"/>
            <w:vAlign w:val="center"/>
          </w:tcPr>
          <w:p w14:paraId="6F3E2532" w14:textId="77777777" w:rsidR="00C9156A" w:rsidRPr="00D01827" w:rsidRDefault="00C9156A" w:rsidP="00C9156A">
            <w:pPr>
              <w:jc w:val="both"/>
              <w:rPr>
                <w:rFonts w:ascii="Gudea" w:hAnsi="Gudea"/>
                <w:sz w:val="20"/>
                <w:lang w:val="en-GB"/>
              </w:rPr>
            </w:pPr>
          </w:p>
        </w:tc>
        <w:tc>
          <w:tcPr>
            <w:tcW w:w="2835" w:type="dxa"/>
            <w:tcBorders>
              <w:bottom w:val="single" w:sz="4" w:space="0" w:color="auto"/>
              <w:right w:val="single" w:sz="4" w:space="0" w:color="auto"/>
            </w:tcBorders>
            <w:vAlign w:val="center"/>
          </w:tcPr>
          <w:p w14:paraId="3E25E7F3" w14:textId="77777777" w:rsidR="00C9156A" w:rsidRPr="00D01827" w:rsidRDefault="00C9156A" w:rsidP="00C9156A">
            <w:pPr>
              <w:jc w:val="both"/>
              <w:rPr>
                <w:rFonts w:ascii="Gudea" w:hAnsi="Gudea"/>
                <w:sz w:val="20"/>
                <w:lang w:val="en-GB"/>
              </w:rPr>
            </w:pPr>
          </w:p>
        </w:tc>
        <w:tc>
          <w:tcPr>
            <w:tcW w:w="2835" w:type="dxa"/>
            <w:tcBorders>
              <w:left w:val="single" w:sz="4" w:space="0" w:color="auto"/>
            </w:tcBorders>
            <w:vAlign w:val="center"/>
          </w:tcPr>
          <w:p w14:paraId="4F40279F" w14:textId="77777777" w:rsidR="00C9156A" w:rsidRPr="00D01827" w:rsidRDefault="00C9156A" w:rsidP="00C9156A">
            <w:pPr>
              <w:jc w:val="both"/>
              <w:rPr>
                <w:rFonts w:ascii="Gudea" w:hAnsi="Gudea"/>
                <w:sz w:val="20"/>
                <w:lang w:val="en-GB"/>
              </w:rPr>
            </w:pPr>
          </w:p>
        </w:tc>
      </w:tr>
      <w:bookmarkEnd w:id="1"/>
      <w:tr w:rsidR="00C9156A" w:rsidRPr="009618E9" w14:paraId="4D5D8151" w14:textId="77777777" w:rsidTr="003C7816">
        <w:trPr>
          <w:trHeight w:val="420"/>
        </w:trPr>
        <w:tc>
          <w:tcPr>
            <w:tcW w:w="14596" w:type="dxa"/>
            <w:gridSpan w:val="4"/>
            <w:tcBorders>
              <w:right w:val="nil"/>
            </w:tcBorders>
            <w:shd w:val="clear" w:color="auto" w:fill="162D4C"/>
            <w:vAlign w:val="center"/>
          </w:tcPr>
          <w:p w14:paraId="68B6F18C" w14:textId="6F47C30F" w:rsidR="00C9156A" w:rsidRPr="00D01827" w:rsidRDefault="00C9156A" w:rsidP="00C9156A">
            <w:pPr>
              <w:spacing w:before="120" w:after="120"/>
              <w:jc w:val="both"/>
              <w:rPr>
                <w:rFonts w:ascii="Gudea" w:hAnsi="Gudea"/>
                <w:b/>
                <w:color w:val="FFFFFF" w:themeColor="background1"/>
                <w:sz w:val="22"/>
                <w:szCs w:val="22"/>
                <w:lang w:val="en-GB"/>
              </w:rPr>
            </w:pPr>
            <w:r w:rsidRPr="00D01827">
              <w:rPr>
                <w:rFonts w:ascii="Gudea" w:hAnsi="Gudea"/>
                <w:b/>
                <w:color w:val="FFFFFF" w:themeColor="background1"/>
                <w:sz w:val="22"/>
                <w:szCs w:val="22"/>
                <w:lang w:val="en-GB"/>
              </w:rPr>
              <w:t xml:space="preserve">1.4. </w:t>
            </w:r>
            <w:bookmarkStart w:id="2" w:name="_Toc55995705"/>
            <w:r w:rsidRPr="00D01827">
              <w:rPr>
                <w:rFonts w:ascii="Gudea" w:hAnsi="Gudea"/>
                <w:b/>
                <w:color w:val="FFFFFF" w:themeColor="background1"/>
                <w:sz w:val="22"/>
                <w:szCs w:val="22"/>
                <w:lang w:val="en-GB"/>
              </w:rPr>
              <w:t>Corporate Social Responsibility</w:t>
            </w:r>
            <w:bookmarkEnd w:id="2"/>
          </w:p>
        </w:tc>
      </w:tr>
      <w:tr w:rsidR="00C9156A" w:rsidRPr="00F0467F" w14:paraId="43CB263D" w14:textId="77777777" w:rsidTr="003C7816">
        <w:trPr>
          <w:trHeight w:val="20"/>
        </w:trPr>
        <w:tc>
          <w:tcPr>
            <w:tcW w:w="6091" w:type="dxa"/>
            <w:vAlign w:val="center"/>
          </w:tcPr>
          <w:p w14:paraId="1736EB20" w14:textId="09FD9F07" w:rsidR="00C9156A" w:rsidRPr="00D01827" w:rsidRDefault="009F636D" w:rsidP="00C9156A">
            <w:pPr>
              <w:spacing w:before="120" w:after="120"/>
              <w:jc w:val="both"/>
              <w:rPr>
                <w:rFonts w:ascii="Gudea" w:hAnsi="Gudea"/>
                <w:color w:val="162D4C"/>
                <w:sz w:val="20"/>
                <w:lang w:val="en-GB"/>
              </w:rPr>
            </w:pPr>
            <w:r w:rsidRPr="009F636D">
              <w:rPr>
                <w:rFonts w:ascii="Gudea" w:hAnsi="Gudea"/>
                <w:b/>
                <w:bCs/>
                <w:color w:val="162D4C"/>
                <w:sz w:val="20"/>
                <w:lang w:val="en-GB"/>
              </w:rPr>
              <w:t xml:space="preserve">1.4.1. The Committee recommends </w:t>
            </w:r>
            <w:r w:rsidRPr="009F636D">
              <w:rPr>
                <w:rFonts w:ascii="Gudea" w:hAnsi="Gudea"/>
                <w:color w:val="162D4C"/>
                <w:sz w:val="20"/>
                <w:lang w:val="en-GB"/>
              </w:rPr>
              <w:t>that the board of directors adopts a policy for the company’s corporate social responsibility, including social responsibility and sustainability, and that the policy is available in the management commentary and/or on the company’s website. The Committee recommends that the board of directors ensures compliance with the policy.</w:t>
            </w:r>
          </w:p>
        </w:tc>
        <w:tc>
          <w:tcPr>
            <w:tcW w:w="2835" w:type="dxa"/>
            <w:vAlign w:val="center"/>
          </w:tcPr>
          <w:p w14:paraId="30E6F747" w14:textId="77777777" w:rsidR="00C9156A" w:rsidRPr="00D01827" w:rsidRDefault="00C9156A" w:rsidP="00C9156A">
            <w:pPr>
              <w:jc w:val="both"/>
              <w:rPr>
                <w:rFonts w:ascii="Gudea" w:hAnsi="Gudea"/>
                <w:sz w:val="20"/>
                <w:lang w:val="en-GB"/>
              </w:rPr>
            </w:pPr>
          </w:p>
        </w:tc>
        <w:tc>
          <w:tcPr>
            <w:tcW w:w="2835" w:type="dxa"/>
            <w:tcBorders>
              <w:bottom w:val="single" w:sz="4" w:space="0" w:color="auto"/>
              <w:right w:val="single" w:sz="4" w:space="0" w:color="auto"/>
            </w:tcBorders>
            <w:vAlign w:val="center"/>
          </w:tcPr>
          <w:p w14:paraId="27A931AA" w14:textId="77777777" w:rsidR="00C9156A" w:rsidRPr="00D01827" w:rsidRDefault="00C9156A" w:rsidP="00C9156A">
            <w:pPr>
              <w:jc w:val="both"/>
              <w:rPr>
                <w:rFonts w:ascii="Gudea" w:hAnsi="Gudea"/>
                <w:sz w:val="20"/>
                <w:lang w:val="en-GB"/>
              </w:rPr>
            </w:pPr>
          </w:p>
        </w:tc>
        <w:tc>
          <w:tcPr>
            <w:tcW w:w="2835" w:type="dxa"/>
            <w:tcBorders>
              <w:left w:val="single" w:sz="4" w:space="0" w:color="auto"/>
            </w:tcBorders>
            <w:vAlign w:val="center"/>
          </w:tcPr>
          <w:p w14:paraId="20E31C8E" w14:textId="77777777" w:rsidR="00C9156A" w:rsidRPr="00D01827" w:rsidRDefault="00C9156A" w:rsidP="00C9156A">
            <w:pPr>
              <w:jc w:val="both"/>
              <w:rPr>
                <w:rFonts w:ascii="Gudea" w:hAnsi="Gudea"/>
                <w:sz w:val="20"/>
                <w:lang w:val="en-GB"/>
              </w:rPr>
            </w:pPr>
          </w:p>
        </w:tc>
      </w:tr>
      <w:tr w:rsidR="00C9156A" w:rsidRPr="00F0467F" w14:paraId="204296FB" w14:textId="77777777" w:rsidTr="007421E6">
        <w:trPr>
          <w:trHeight w:val="20"/>
        </w:trPr>
        <w:tc>
          <w:tcPr>
            <w:tcW w:w="6091" w:type="dxa"/>
            <w:vAlign w:val="center"/>
          </w:tcPr>
          <w:p w14:paraId="29519A77" w14:textId="29C7ECDC" w:rsidR="00C9156A" w:rsidRPr="00D01827" w:rsidRDefault="009F636D" w:rsidP="00C9156A">
            <w:pPr>
              <w:spacing w:before="120" w:after="120"/>
              <w:jc w:val="both"/>
              <w:rPr>
                <w:rFonts w:ascii="Gudea" w:hAnsi="Gudea"/>
                <w:color w:val="162D4C"/>
                <w:sz w:val="20"/>
                <w:lang w:val="en-GB"/>
              </w:rPr>
            </w:pPr>
            <w:r w:rsidRPr="009F636D">
              <w:rPr>
                <w:rFonts w:ascii="Gudea" w:hAnsi="Gudea"/>
                <w:b/>
                <w:bCs/>
                <w:color w:val="162D4C"/>
                <w:sz w:val="20"/>
                <w:lang w:val="en-GB"/>
              </w:rPr>
              <w:lastRenderedPageBreak/>
              <w:t xml:space="preserve">1.4.2. The Committee recommends </w:t>
            </w:r>
            <w:r w:rsidRPr="009F636D">
              <w:rPr>
                <w:rFonts w:ascii="Gudea" w:hAnsi="Gudea"/>
                <w:color w:val="162D4C"/>
                <w:sz w:val="20"/>
                <w:lang w:val="en-GB"/>
              </w:rPr>
              <w:t>that the board of directors adopts a tax policy to be made available on the company’s website.</w:t>
            </w:r>
          </w:p>
        </w:tc>
        <w:tc>
          <w:tcPr>
            <w:tcW w:w="2835" w:type="dxa"/>
            <w:vAlign w:val="center"/>
          </w:tcPr>
          <w:p w14:paraId="3A9F918F" w14:textId="77777777" w:rsidR="00C9156A" w:rsidRPr="00D01827" w:rsidRDefault="00C9156A" w:rsidP="00C9156A">
            <w:pPr>
              <w:jc w:val="both"/>
              <w:rPr>
                <w:rFonts w:ascii="Gudea" w:hAnsi="Gudea"/>
                <w:sz w:val="20"/>
                <w:lang w:val="en-GB"/>
              </w:rPr>
            </w:pPr>
          </w:p>
        </w:tc>
        <w:tc>
          <w:tcPr>
            <w:tcW w:w="2835" w:type="dxa"/>
            <w:tcBorders>
              <w:bottom w:val="single" w:sz="4" w:space="0" w:color="auto"/>
              <w:right w:val="single" w:sz="4" w:space="0" w:color="auto"/>
            </w:tcBorders>
            <w:vAlign w:val="center"/>
          </w:tcPr>
          <w:p w14:paraId="169FFBFC" w14:textId="77777777" w:rsidR="00C9156A" w:rsidRPr="00D01827" w:rsidRDefault="00C9156A" w:rsidP="00C9156A">
            <w:pPr>
              <w:jc w:val="both"/>
              <w:rPr>
                <w:rFonts w:ascii="Gudea" w:hAnsi="Gudea"/>
                <w:sz w:val="20"/>
                <w:lang w:val="en-GB"/>
              </w:rPr>
            </w:pPr>
          </w:p>
        </w:tc>
        <w:tc>
          <w:tcPr>
            <w:tcW w:w="2835" w:type="dxa"/>
            <w:tcBorders>
              <w:left w:val="single" w:sz="4" w:space="0" w:color="auto"/>
            </w:tcBorders>
            <w:vAlign w:val="center"/>
          </w:tcPr>
          <w:p w14:paraId="1292AEA4" w14:textId="77777777" w:rsidR="00C9156A" w:rsidRPr="00D01827" w:rsidRDefault="00C9156A" w:rsidP="00C9156A">
            <w:pPr>
              <w:jc w:val="both"/>
              <w:rPr>
                <w:rFonts w:ascii="Gudea" w:hAnsi="Gudea"/>
                <w:sz w:val="20"/>
                <w:lang w:val="en-GB"/>
              </w:rPr>
            </w:pPr>
          </w:p>
        </w:tc>
      </w:tr>
      <w:tr w:rsidR="00C9156A" w:rsidRPr="00F0467F" w14:paraId="1E3B404E" w14:textId="77777777" w:rsidTr="00DE6017">
        <w:trPr>
          <w:trHeight w:val="420"/>
        </w:trPr>
        <w:tc>
          <w:tcPr>
            <w:tcW w:w="14596" w:type="dxa"/>
            <w:gridSpan w:val="4"/>
            <w:tcBorders>
              <w:bottom w:val="nil"/>
              <w:right w:val="nil"/>
            </w:tcBorders>
            <w:shd w:val="clear" w:color="auto" w:fill="162D4C"/>
            <w:vAlign w:val="center"/>
          </w:tcPr>
          <w:p w14:paraId="667E8182" w14:textId="7D1C4438" w:rsidR="00C9156A" w:rsidRPr="00D01827" w:rsidRDefault="00C9156A" w:rsidP="00C9156A">
            <w:pPr>
              <w:spacing w:before="120" w:after="240"/>
              <w:jc w:val="both"/>
              <w:rPr>
                <w:rFonts w:ascii="Gudea" w:hAnsi="Gudea"/>
                <w:b/>
                <w:bCs/>
                <w:color w:val="CC9764"/>
                <w:szCs w:val="24"/>
                <w:lang w:val="en-GB"/>
              </w:rPr>
            </w:pPr>
            <w:r w:rsidRPr="00D01827">
              <w:rPr>
                <w:rFonts w:ascii="Gudea" w:hAnsi="Gudea"/>
                <w:b/>
                <w:bCs/>
                <w:color w:val="CC9764"/>
                <w:szCs w:val="24"/>
                <w:lang w:val="en-GB"/>
              </w:rPr>
              <w:t xml:space="preserve">2. </w:t>
            </w:r>
            <w:bookmarkStart w:id="3" w:name="_Toc55995706"/>
            <w:r w:rsidRPr="00D01827">
              <w:rPr>
                <w:rFonts w:ascii="Gudea" w:hAnsi="Gudea"/>
                <w:b/>
                <w:bCs/>
                <w:color w:val="CC9764"/>
                <w:szCs w:val="24"/>
                <w:lang w:val="en-GB"/>
              </w:rPr>
              <w:t>The duties and responsibilities of the board of directors</w:t>
            </w:r>
            <w:bookmarkEnd w:id="3"/>
          </w:p>
        </w:tc>
      </w:tr>
      <w:tr w:rsidR="00C9156A" w:rsidRPr="009618E9" w14:paraId="6ED64A7A" w14:textId="77777777" w:rsidTr="00DE6017">
        <w:trPr>
          <w:trHeight w:val="420"/>
        </w:trPr>
        <w:tc>
          <w:tcPr>
            <w:tcW w:w="14596" w:type="dxa"/>
            <w:gridSpan w:val="4"/>
            <w:tcBorders>
              <w:top w:val="nil"/>
              <w:right w:val="nil"/>
            </w:tcBorders>
            <w:shd w:val="clear" w:color="auto" w:fill="162D4C"/>
            <w:vAlign w:val="center"/>
          </w:tcPr>
          <w:p w14:paraId="54843446" w14:textId="60662C25" w:rsidR="00C9156A" w:rsidRPr="00D01827" w:rsidRDefault="00C9156A" w:rsidP="00C9156A">
            <w:pPr>
              <w:spacing w:before="120" w:after="120"/>
              <w:jc w:val="both"/>
              <w:rPr>
                <w:rFonts w:ascii="Gudea" w:hAnsi="Gudea"/>
                <w:b/>
                <w:color w:val="FFFFFF" w:themeColor="background1"/>
                <w:sz w:val="22"/>
                <w:lang w:val="en-GB"/>
              </w:rPr>
            </w:pPr>
            <w:r w:rsidRPr="00D01827">
              <w:rPr>
                <w:rFonts w:ascii="Gudea" w:hAnsi="Gudea"/>
                <w:b/>
                <w:color w:val="FFFFFF" w:themeColor="background1"/>
                <w:sz w:val="22"/>
                <w:lang w:val="en-GB"/>
              </w:rPr>
              <w:t>2.1</w:t>
            </w:r>
            <w:r w:rsidR="009F636D">
              <w:rPr>
                <w:rFonts w:ascii="Gudea" w:hAnsi="Gudea"/>
                <w:b/>
                <w:color w:val="FFFFFF" w:themeColor="background1"/>
                <w:sz w:val="22"/>
                <w:lang w:val="en-GB"/>
              </w:rPr>
              <w:t>.</w:t>
            </w:r>
            <w:r w:rsidRPr="00D01827">
              <w:rPr>
                <w:rFonts w:ascii="Gudea" w:hAnsi="Gudea"/>
                <w:b/>
                <w:color w:val="FFFFFF" w:themeColor="background1"/>
                <w:sz w:val="22"/>
                <w:lang w:val="en-GB"/>
              </w:rPr>
              <w:t xml:space="preserve"> </w:t>
            </w:r>
            <w:bookmarkStart w:id="4" w:name="_Toc55995707"/>
            <w:r w:rsidRPr="00D01827">
              <w:rPr>
                <w:rFonts w:ascii="Gudea" w:hAnsi="Gudea"/>
                <w:b/>
                <w:color w:val="FFFFFF" w:themeColor="background1"/>
                <w:sz w:val="22"/>
                <w:lang w:val="en-GB"/>
              </w:rPr>
              <w:t>Overall tasks and responsibilities</w:t>
            </w:r>
            <w:bookmarkEnd w:id="4"/>
          </w:p>
        </w:tc>
      </w:tr>
      <w:tr w:rsidR="00C9156A" w:rsidRPr="00F0467F" w14:paraId="34B4356B" w14:textId="77777777" w:rsidTr="007421E6">
        <w:trPr>
          <w:trHeight w:val="20"/>
        </w:trPr>
        <w:tc>
          <w:tcPr>
            <w:tcW w:w="6091" w:type="dxa"/>
            <w:vAlign w:val="center"/>
          </w:tcPr>
          <w:p w14:paraId="7B2842FB" w14:textId="18CCB466" w:rsidR="00C9156A" w:rsidRPr="00D01827" w:rsidRDefault="009F636D" w:rsidP="00C9156A">
            <w:pPr>
              <w:spacing w:before="120" w:after="120"/>
              <w:jc w:val="both"/>
              <w:rPr>
                <w:rFonts w:ascii="Gudea" w:hAnsi="Gudea"/>
                <w:color w:val="162D4C"/>
                <w:sz w:val="20"/>
                <w:lang w:val="en-GB"/>
              </w:rPr>
            </w:pPr>
            <w:r w:rsidRPr="009F636D">
              <w:rPr>
                <w:rFonts w:ascii="Gudea" w:hAnsi="Gudea"/>
                <w:b/>
                <w:bCs/>
                <w:color w:val="162D4C"/>
                <w:sz w:val="20"/>
                <w:lang w:val="en-GB"/>
              </w:rPr>
              <w:t xml:space="preserve">2.1.1. The Committee recommends </w:t>
            </w:r>
            <w:r w:rsidRPr="009F636D">
              <w:rPr>
                <w:rFonts w:ascii="Gudea" w:hAnsi="Gudea"/>
                <w:color w:val="162D4C"/>
                <w:sz w:val="20"/>
                <w:lang w:val="en-GB"/>
              </w:rPr>
              <w:t>that the board of directors in support of the company’s statutory objects according to its articles of association and the long-term value creation considers the company’s purpose and ensures and promotes a good culture and sound values in the company. The company should provide an account thereof in the management commentary and/or on the company's website.</w:t>
            </w:r>
          </w:p>
        </w:tc>
        <w:tc>
          <w:tcPr>
            <w:tcW w:w="2835" w:type="dxa"/>
            <w:vAlign w:val="center"/>
          </w:tcPr>
          <w:p w14:paraId="529E9729" w14:textId="77777777" w:rsidR="00C9156A" w:rsidRPr="00D01827" w:rsidRDefault="00C9156A" w:rsidP="00C9156A">
            <w:pPr>
              <w:spacing w:before="120" w:after="120"/>
              <w:jc w:val="both"/>
              <w:rPr>
                <w:rFonts w:ascii="Gudea" w:hAnsi="Gudea"/>
                <w:sz w:val="20"/>
                <w:lang w:val="en-GB"/>
              </w:rPr>
            </w:pPr>
          </w:p>
        </w:tc>
        <w:tc>
          <w:tcPr>
            <w:tcW w:w="2835" w:type="dxa"/>
            <w:tcBorders>
              <w:bottom w:val="single" w:sz="4" w:space="0" w:color="auto"/>
              <w:right w:val="single" w:sz="4" w:space="0" w:color="auto"/>
            </w:tcBorders>
            <w:vAlign w:val="center"/>
          </w:tcPr>
          <w:p w14:paraId="2919E307" w14:textId="77777777" w:rsidR="00C9156A" w:rsidRPr="00D01827" w:rsidRDefault="00C9156A" w:rsidP="00C9156A">
            <w:pPr>
              <w:spacing w:before="120" w:after="120"/>
              <w:jc w:val="both"/>
              <w:rPr>
                <w:rFonts w:ascii="Gudea" w:hAnsi="Gudea"/>
                <w:sz w:val="20"/>
                <w:lang w:val="en-GB"/>
              </w:rPr>
            </w:pPr>
          </w:p>
        </w:tc>
        <w:tc>
          <w:tcPr>
            <w:tcW w:w="2835" w:type="dxa"/>
            <w:tcBorders>
              <w:left w:val="single" w:sz="4" w:space="0" w:color="auto"/>
            </w:tcBorders>
            <w:vAlign w:val="center"/>
          </w:tcPr>
          <w:p w14:paraId="612742EE" w14:textId="77777777" w:rsidR="00C9156A" w:rsidRPr="00D01827" w:rsidRDefault="00C9156A" w:rsidP="00C9156A">
            <w:pPr>
              <w:spacing w:before="120" w:after="120"/>
              <w:jc w:val="both"/>
              <w:rPr>
                <w:rFonts w:ascii="Gudea" w:hAnsi="Gudea"/>
                <w:sz w:val="20"/>
                <w:lang w:val="en-GB"/>
              </w:rPr>
            </w:pPr>
          </w:p>
        </w:tc>
      </w:tr>
      <w:tr w:rsidR="00C9156A" w:rsidRPr="00F0467F" w14:paraId="1AC75EB5" w14:textId="77777777" w:rsidTr="007421E6">
        <w:trPr>
          <w:trHeight w:val="20"/>
        </w:trPr>
        <w:tc>
          <w:tcPr>
            <w:tcW w:w="6091" w:type="dxa"/>
            <w:vAlign w:val="center"/>
          </w:tcPr>
          <w:p w14:paraId="007206F1" w14:textId="51E82A8C" w:rsidR="00C9156A" w:rsidRPr="00D01827" w:rsidRDefault="009F636D" w:rsidP="00C9156A">
            <w:pPr>
              <w:spacing w:before="120" w:after="120"/>
              <w:jc w:val="both"/>
              <w:rPr>
                <w:rFonts w:ascii="Gudea" w:hAnsi="Gudea"/>
                <w:color w:val="162D4C"/>
                <w:sz w:val="20"/>
                <w:lang w:val="en-GB"/>
              </w:rPr>
            </w:pPr>
            <w:r w:rsidRPr="009F636D">
              <w:rPr>
                <w:rFonts w:ascii="Gudea" w:hAnsi="Gudea"/>
                <w:b/>
                <w:bCs/>
                <w:color w:val="162D4C"/>
                <w:sz w:val="20"/>
                <w:lang w:val="en-GB"/>
              </w:rPr>
              <w:t xml:space="preserve">2.1.2. The Committee recommends </w:t>
            </w:r>
            <w:r w:rsidRPr="009F636D">
              <w:rPr>
                <w:rFonts w:ascii="Gudea" w:hAnsi="Gudea"/>
                <w:color w:val="162D4C"/>
                <w:sz w:val="20"/>
                <w:lang w:val="en-GB"/>
              </w:rPr>
              <w:t>that the board of directors at least once a year discusses and on a regular basis follows up on the company’s overall strategic targets in order to ensure the value creation in the company.</w:t>
            </w:r>
          </w:p>
        </w:tc>
        <w:tc>
          <w:tcPr>
            <w:tcW w:w="2835" w:type="dxa"/>
            <w:vAlign w:val="center"/>
          </w:tcPr>
          <w:p w14:paraId="31810074" w14:textId="77777777" w:rsidR="00C9156A" w:rsidRPr="00D01827" w:rsidRDefault="00C9156A" w:rsidP="00C9156A">
            <w:pPr>
              <w:jc w:val="both"/>
              <w:rPr>
                <w:rFonts w:ascii="Gudea" w:hAnsi="Gudea"/>
                <w:sz w:val="20"/>
                <w:lang w:val="en-GB"/>
              </w:rPr>
            </w:pPr>
          </w:p>
        </w:tc>
        <w:tc>
          <w:tcPr>
            <w:tcW w:w="2835" w:type="dxa"/>
            <w:tcBorders>
              <w:bottom w:val="single" w:sz="4" w:space="0" w:color="auto"/>
              <w:right w:val="single" w:sz="4" w:space="0" w:color="auto"/>
            </w:tcBorders>
            <w:vAlign w:val="center"/>
          </w:tcPr>
          <w:p w14:paraId="3CFB1EC2" w14:textId="77777777" w:rsidR="00C9156A" w:rsidRPr="00D01827" w:rsidRDefault="00C9156A" w:rsidP="00C9156A">
            <w:pPr>
              <w:jc w:val="both"/>
              <w:rPr>
                <w:rFonts w:ascii="Gudea" w:hAnsi="Gudea"/>
                <w:sz w:val="20"/>
                <w:lang w:val="en-GB"/>
              </w:rPr>
            </w:pPr>
          </w:p>
        </w:tc>
        <w:tc>
          <w:tcPr>
            <w:tcW w:w="2835" w:type="dxa"/>
            <w:tcBorders>
              <w:left w:val="single" w:sz="4" w:space="0" w:color="auto"/>
            </w:tcBorders>
            <w:vAlign w:val="center"/>
          </w:tcPr>
          <w:p w14:paraId="08D7DBCC" w14:textId="77777777" w:rsidR="00C9156A" w:rsidRPr="00D01827" w:rsidRDefault="00C9156A" w:rsidP="00C9156A">
            <w:pPr>
              <w:jc w:val="both"/>
              <w:rPr>
                <w:rFonts w:ascii="Gudea" w:hAnsi="Gudea"/>
                <w:sz w:val="20"/>
                <w:lang w:val="en-GB"/>
              </w:rPr>
            </w:pPr>
          </w:p>
        </w:tc>
      </w:tr>
      <w:tr w:rsidR="00C9156A" w:rsidRPr="00F0467F" w14:paraId="775A3019" w14:textId="77777777" w:rsidTr="007421E6">
        <w:trPr>
          <w:trHeight w:val="20"/>
        </w:trPr>
        <w:tc>
          <w:tcPr>
            <w:tcW w:w="6091" w:type="dxa"/>
            <w:vAlign w:val="center"/>
          </w:tcPr>
          <w:p w14:paraId="5B6C8E58" w14:textId="75705DE3" w:rsidR="00C9156A" w:rsidRPr="00D01827" w:rsidRDefault="009F636D" w:rsidP="00C9156A">
            <w:pPr>
              <w:spacing w:before="120" w:after="120"/>
              <w:jc w:val="both"/>
              <w:rPr>
                <w:rFonts w:ascii="Gudea" w:hAnsi="Gudea"/>
                <w:color w:val="162D4C"/>
                <w:sz w:val="20"/>
                <w:lang w:val="en-GB"/>
              </w:rPr>
            </w:pPr>
            <w:r w:rsidRPr="009F636D">
              <w:rPr>
                <w:rFonts w:ascii="Gudea" w:hAnsi="Gudea"/>
                <w:b/>
                <w:bCs/>
                <w:color w:val="162D4C"/>
                <w:sz w:val="20"/>
                <w:lang w:val="en-GB"/>
              </w:rPr>
              <w:t xml:space="preserve">2.1.3. The Committee recommends </w:t>
            </w:r>
            <w:r w:rsidRPr="009F636D">
              <w:rPr>
                <w:rFonts w:ascii="Gudea" w:hAnsi="Gudea"/>
                <w:color w:val="162D4C"/>
                <w:sz w:val="20"/>
                <w:lang w:val="en-GB"/>
              </w:rPr>
              <w:t>that the board of directors on a continuously basis takes steps to examine whether the company’s share and capital structure supports the strategy and the long-term value creation in the interest of the company as well as the shareholders. The Committee recommends that the company gives an account thereof in the management commentary.</w:t>
            </w:r>
          </w:p>
        </w:tc>
        <w:tc>
          <w:tcPr>
            <w:tcW w:w="2835" w:type="dxa"/>
            <w:vAlign w:val="center"/>
          </w:tcPr>
          <w:p w14:paraId="6E9D9DDB" w14:textId="77777777" w:rsidR="00C9156A" w:rsidRPr="00D01827" w:rsidRDefault="00C9156A" w:rsidP="00C9156A">
            <w:pPr>
              <w:jc w:val="both"/>
              <w:rPr>
                <w:rFonts w:ascii="Gudea" w:hAnsi="Gudea"/>
                <w:sz w:val="20"/>
                <w:lang w:val="en-GB"/>
              </w:rPr>
            </w:pPr>
          </w:p>
        </w:tc>
        <w:tc>
          <w:tcPr>
            <w:tcW w:w="2835" w:type="dxa"/>
            <w:tcBorders>
              <w:bottom w:val="single" w:sz="4" w:space="0" w:color="auto"/>
              <w:right w:val="single" w:sz="4" w:space="0" w:color="auto"/>
            </w:tcBorders>
            <w:vAlign w:val="center"/>
          </w:tcPr>
          <w:p w14:paraId="2FBDDD3C" w14:textId="77777777" w:rsidR="00C9156A" w:rsidRPr="00D01827" w:rsidRDefault="00C9156A" w:rsidP="00C9156A">
            <w:pPr>
              <w:jc w:val="both"/>
              <w:rPr>
                <w:rFonts w:ascii="Gudea" w:hAnsi="Gudea"/>
                <w:sz w:val="20"/>
                <w:lang w:val="en-GB"/>
              </w:rPr>
            </w:pPr>
          </w:p>
        </w:tc>
        <w:tc>
          <w:tcPr>
            <w:tcW w:w="2835" w:type="dxa"/>
            <w:tcBorders>
              <w:left w:val="single" w:sz="4" w:space="0" w:color="auto"/>
            </w:tcBorders>
            <w:vAlign w:val="center"/>
          </w:tcPr>
          <w:p w14:paraId="21DD183F" w14:textId="77777777" w:rsidR="00C9156A" w:rsidRPr="00D01827" w:rsidRDefault="00C9156A" w:rsidP="00C9156A">
            <w:pPr>
              <w:jc w:val="both"/>
              <w:rPr>
                <w:rFonts w:ascii="Gudea" w:hAnsi="Gudea"/>
                <w:sz w:val="20"/>
                <w:lang w:val="en-GB"/>
              </w:rPr>
            </w:pPr>
          </w:p>
        </w:tc>
      </w:tr>
      <w:tr w:rsidR="00C9156A" w:rsidRPr="00F0467F" w14:paraId="4295380C" w14:textId="77777777" w:rsidTr="007421E6">
        <w:trPr>
          <w:trHeight w:val="20"/>
        </w:trPr>
        <w:tc>
          <w:tcPr>
            <w:tcW w:w="6091" w:type="dxa"/>
            <w:vAlign w:val="center"/>
          </w:tcPr>
          <w:p w14:paraId="35BEDDDF" w14:textId="412055B6" w:rsidR="00C9156A" w:rsidRPr="00D01827" w:rsidRDefault="009F636D" w:rsidP="00C9156A">
            <w:pPr>
              <w:spacing w:before="120" w:after="120"/>
              <w:jc w:val="both"/>
              <w:rPr>
                <w:rFonts w:ascii="Gudea" w:hAnsi="Gudea"/>
                <w:color w:val="162D4C"/>
                <w:sz w:val="20"/>
                <w:lang w:val="en-GB"/>
              </w:rPr>
            </w:pPr>
            <w:r w:rsidRPr="009F636D">
              <w:rPr>
                <w:rFonts w:ascii="Gudea" w:hAnsi="Gudea"/>
                <w:b/>
                <w:bCs/>
                <w:color w:val="162D4C"/>
                <w:sz w:val="20"/>
                <w:lang w:val="en-GB"/>
              </w:rPr>
              <w:t xml:space="preserve">2.1.4. The Committee recommends </w:t>
            </w:r>
            <w:r w:rsidRPr="009F636D">
              <w:rPr>
                <w:rFonts w:ascii="Gudea" w:hAnsi="Gudea"/>
                <w:color w:val="162D4C"/>
                <w:sz w:val="20"/>
                <w:lang w:val="en-GB"/>
              </w:rPr>
              <w:t>that the board of directors prepares and on an annual basis reviews guidelines for the executive</w:t>
            </w:r>
            <w:r w:rsidRPr="009F636D">
              <w:rPr>
                <w:rFonts w:ascii="Gudea" w:hAnsi="Gudea"/>
                <w:b/>
                <w:bCs/>
                <w:color w:val="162D4C"/>
                <w:sz w:val="20"/>
                <w:lang w:val="en-GB"/>
              </w:rPr>
              <w:t xml:space="preserve"> </w:t>
            </w:r>
            <w:r w:rsidRPr="009F636D">
              <w:rPr>
                <w:rFonts w:ascii="Gudea" w:hAnsi="Gudea"/>
                <w:color w:val="162D4C"/>
                <w:sz w:val="20"/>
                <w:lang w:val="en-GB"/>
              </w:rPr>
              <w:lastRenderedPageBreak/>
              <w:t>management, including requirements in respect of the reporting to the board of directors.</w:t>
            </w:r>
          </w:p>
        </w:tc>
        <w:tc>
          <w:tcPr>
            <w:tcW w:w="2835" w:type="dxa"/>
            <w:vAlign w:val="center"/>
          </w:tcPr>
          <w:p w14:paraId="76529677" w14:textId="77777777" w:rsidR="00C9156A" w:rsidRPr="00D01827" w:rsidRDefault="00C9156A" w:rsidP="00C9156A">
            <w:pPr>
              <w:jc w:val="both"/>
              <w:rPr>
                <w:rFonts w:ascii="Gudea" w:hAnsi="Gudea"/>
                <w:sz w:val="20"/>
                <w:lang w:val="en-GB"/>
              </w:rPr>
            </w:pPr>
          </w:p>
        </w:tc>
        <w:tc>
          <w:tcPr>
            <w:tcW w:w="2835" w:type="dxa"/>
            <w:tcBorders>
              <w:bottom w:val="single" w:sz="4" w:space="0" w:color="auto"/>
              <w:right w:val="single" w:sz="4" w:space="0" w:color="auto"/>
            </w:tcBorders>
            <w:vAlign w:val="center"/>
          </w:tcPr>
          <w:p w14:paraId="596346FE" w14:textId="77777777" w:rsidR="00C9156A" w:rsidRPr="00D01827" w:rsidRDefault="00C9156A" w:rsidP="00C9156A">
            <w:pPr>
              <w:jc w:val="both"/>
              <w:rPr>
                <w:rFonts w:ascii="Gudea" w:hAnsi="Gudea"/>
                <w:sz w:val="20"/>
                <w:lang w:val="en-GB"/>
              </w:rPr>
            </w:pPr>
          </w:p>
        </w:tc>
        <w:tc>
          <w:tcPr>
            <w:tcW w:w="2835" w:type="dxa"/>
            <w:tcBorders>
              <w:left w:val="single" w:sz="4" w:space="0" w:color="auto"/>
            </w:tcBorders>
            <w:vAlign w:val="center"/>
          </w:tcPr>
          <w:p w14:paraId="50A7708A" w14:textId="77777777" w:rsidR="00C9156A" w:rsidRPr="00D01827" w:rsidRDefault="00C9156A" w:rsidP="00C9156A">
            <w:pPr>
              <w:jc w:val="both"/>
              <w:rPr>
                <w:rFonts w:ascii="Gudea" w:hAnsi="Gudea"/>
                <w:sz w:val="20"/>
                <w:lang w:val="en-GB"/>
              </w:rPr>
            </w:pPr>
          </w:p>
        </w:tc>
      </w:tr>
      <w:tr w:rsidR="00C9156A" w:rsidRPr="00F0467F" w14:paraId="44C04F2C" w14:textId="77777777" w:rsidTr="00DE6017">
        <w:trPr>
          <w:trHeight w:val="386"/>
        </w:trPr>
        <w:tc>
          <w:tcPr>
            <w:tcW w:w="14596" w:type="dxa"/>
            <w:gridSpan w:val="4"/>
            <w:tcBorders>
              <w:right w:val="nil"/>
            </w:tcBorders>
            <w:shd w:val="clear" w:color="auto" w:fill="162D4C"/>
            <w:vAlign w:val="center"/>
          </w:tcPr>
          <w:p w14:paraId="009ABF90" w14:textId="0787B8C9" w:rsidR="00C9156A" w:rsidRPr="00D01827" w:rsidRDefault="00C9156A" w:rsidP="00C9156A">
            <w:pPr>
              <w:spacing w:before="120" w:after="120"/>
              <w:jc w:val="both"/>
              <w:rPr>
                <w:rFonts w:ascii="Gudea" w:hAnsi="Gudea"/>
                <w:b/>
                <w:color w:val="FFFFFF" w:themeColor="background1"/>
                <w:sz w:val="22"/>
                <w:lang w:val="en-GB"/>
              </w:rPr>
            </w:pPr>
            <w:r w:rsidRPr="00D01827">
              <w:rPr>
                <w:rFonts w:ascii="Gudea" w:hAnsi="Gudea"/>
                <w:b/>
                <w:color w:val="FFFFFF" w:themeColor="background1"/>
                <w:sz w:val="22"/>
                <w:lang w:val="en-GB"/>
              </w:rPr>
              <w:t xml:space="preserve">2.2. </w:t>
            </w:r>
            <w:bookmarkStart w:id="5" w:name="_Toc55995708"/>
            <w:r w:rsidRPr="00D01827">
              <w:rPr>
                <w:rFonts w:ascii="Gudea" w:hAnsi="Gudea"/>
                <w:b/>
                <w:color w:val="FFFFFF" w:themeColor="background1"/>
                <w:sz w:val="22"/>
                <w:lang w:val="en-GB"/>
              </w:rPr>
              <w:t>Members of the board of directors</w:t>
            </w:r>
            <w:bookmarkEnd w:id="5"/>
          </w:p>
        </w:tc>
      </w:tr>
      <w:tr w:rsidR="00C9156A" w:rsidRPr="00F0467F" w14:paraId="64599BD5" w14:textId="77777777" w:rsidTr="007421E6">
        <w:trPr>
          <w:trHeight w:val="20"/>
        </w:trPr>
        <w:tc>
          <w:tcPr>
            <w:tcW w:w="6091" w:type="dxa"/>
            <w:tcBorders>
              <w:bottom w:val="single" w:sz="4" w:space="0" w:color="auto"/>
            </w:tcBorders>
            <w:vAlign w:val="center"/>
          </w:tcPr>
          <w:p w14:paraId="6E61E7D9" w14:textId="7151BAD1" w:rsidR="00C9156A" w:rsidRPr="00D01827" w:rsidRDefault="002721F5" w:rsidP="00C9156A">
            <w:pPr>
              <w:spacing w:before="120" w:after="120"/>
              <w:jc w:val="both"/>
              <w:rPr>
                <w:rFonts w:ascii="Gudea" w:hAnsi="Gudea"/>
                <w:sz w:val="20"/>
                <w:lang w:val="en-GB"/>
              </w:rPr>
            </w:pPr>
            <w:r w:rsidRPr="002721F5">
              <w:rPr>
                <w:rFonts w:ascii="Gudea" w:hAnsi="Gudea"/>
                <w:b/>
                <w:bCs/>
                <w:color w:val="162D4C"/>
                <w:sz w:val="20"/>
                <w:lang w:val="en-GB"/>
              </w:rPr>
              <w:t xml:space="preserve">2.2.1. The Committee recommends </w:t>
            </w:r>
            <w:r w:rsidRPr="002721F5">
              <w:rPr>
                <w:rFonts w:ascii="Gudea" w:hAnsi="Gudea"/>
                <w:color w:val="162D4C"/>
                <w:sz w:val="20"/>
                <w:lang w:val="en-GB"/>
              </w:rPr>
              <w:t>that the board of directors, in addition to a chairperson, appoints a vice chairperson, who can step in if the chairperson is absent and who can generally act as the chairperson’s close sparring partner.</w:t>
            </w:r>
          </w:p>
        </w:tc>
        <w:tc>
          <w:tcPr>
            <w:tcW w:w="2835" w:type="dxa"/>
            <w:tcBorders>
              <w:bottom w:val="single" w:sz="4" w:space="0" w:color="auto"/>
            </w:tcBorders>
            <w:vAlign w:val="center"/>
          </w:tcPr>
          <w:p w14:paraId="3D085C41" w14:textId="77777777" w:rsidR="00C9156A" w:rsidRPr="00D01827" w:rsidRDefault="00C9156A" w:rsidP="00C9156A">
            <w:pPr>
              <w:spacing w:before="120" w:after="120"/>
              <w:jc w:val="both"/>
              <w:rPr>
                <w:rFonts w:ascii="Gudea" w:hAnsi="Gudea"/>
                <w:sz w:val="20"/>
                <w:lang w:val="en-GB"/>
              </w:rPr>
            </w:pPr>
          </w:p>
        </w:tc>
        <w:tc>
          <w:tcPr>
            <w:tcW w:w="2835" w:type="dxa"/>
            <w:tcBorders>
              <w:bottom w:val="single" w:sz="4" w:space="0" w:color="auto"/>
              <w:right w:val="single" w:sz="4" w:space="0" w:color="auto"/>
            </w:tcBorders>
            <w:vAlign w:val="center"/>
          </w:tcPr>
          <w:p w14:paraId="04C7FD2A" w14:textId="77777777" w:rsidR="00C9156A" w:rsidRPr="00D01827" w:rsidRDefault="00C9156A" w:rsidP="00C9156A">
            <w:pPr>
              <w:spacing w:before="120" w:after="120"/>
              <w:jc w:val="both"/>
              <w:rPr>
                <w:rFonts w:ascii="Gudea" w:hAnsi="Gudea"/>
                <w:sz w:val="20"/>
                <w:lang w:val="en-GB"/>
              </w:rPr>
            </w:pPr>
          </w:p>
        </w:tc>
        <w:tc>
          <w:tcPr>
            <w:tcW w:w="2835" w:type="dxa"/>
            <w:tcBorders>
              <w:left w:val="single" w:sz="4" w:space="0" w:color="auto"/>
              <w:bottom w:val="single" w:sz="4" w:space="0" w:color="auto"/>
            </w:tcBorders>
            <w:vAlign w:val="center"/>
          </w:tcPr>
          <w:p w14:paraId="0747D5AE" w14:textId="77777777" w:rsidR="00C9156A" w:rsidRPr="00D01827" w:rsidRDefault="00C9156A" w:rsidP="00C9156A">
            <w:pPr>
              <w:spacing w:before="120" w:after="120"/>
              <w:jc w:val="both"/>
              <w:rPr>
                <w:rFonts w:ascii="Gudea" w:hAnsi="Gudea"/>
                <w:sz w:val="20"/>
                <w:lang w:val="en-GB"/>
              </w:rPr>
            </w:pPr>
          </w:p>
        </w:tc>
      </w:tr>
      <w:tr w:rsidR="00C9156A" w:rsidRPr="00F0467F" w14:paraId="4B82B06F" w14:textId="77777777" w:rsidTr="007421E6">
        <w:trPr>
          <w:trHeight w:val="20"/>
        </w:trPr>
        <w:tc>
          <w:tcPr>
            <w:tcW w:w="6091" w:type="dxa"/>
            <w:tcBorders>
              <w:bottom w:val="single" w:sz="4" w:space="0" w:color="auto"/>
            </w:tcBorders>
            <w:vAlign w:val="center"/>
          </w:tcPr>
          <w:p w14:paraId="23BC96A9" w14:textId="3511FE5E" w:rsidR="00C9156A" w:rsidRPr="00D01827" w:rsidRDefault="002721F5" w:rsidP="00C9156A">
            <w:pPr>
              <w:spacing w:before="120" w:after="120"/>
              <w:jc w:val="both"/>
              <w:rPr>
                <w:rFonts w:ascii="Gudea" w:hAnsi="Gudea"/>
                <w:b/>
                <w:bCs/>
                <w:color w:val="162D4C"/>
                <w:sz w:val="20"/>
                <w:lang w:val="en-GB"/>
              </w:rPr>
            </w:pPr>
            <w:r w:rsidRPr="002721F5">
              <w:rPr>
                <w:rFonts w:ascii="Gudea" w:hAnsi="Gudea"/>
                <w:b/>
                <w:bCs/>
                <w:color w:val="162D4C"/>
                <w:sz w:val="20"/>
                <w:lang w:val="en-GB"/>
              </w:rPr>
              <w:t xml:space="preserve">2.2.2. The Committee recommends </w:t>
            </w:r>
            <w:r w:rsidRPr="002721F5">
              <w:rPr>
                <w:rFonts w:ascii="Gudea" w:hAnsi="Gudea"/>
                <w:color w:val="162D4C"/>
                <w:sz w:val="20"/>
                <w:lang w:val="en-GB"/>
              </w:rPr>
              <w:t>that the chairperson in cooperation with the individual members of the board of directors ensures that the members up-date and supplement their knowledge of relevant matters, and that the members’ special knowledge and qualifications are applied in the best possible manner.</w:t>
            </w:r>
          </w:p>
        </w:tc>
        <w:tc>
          <w:tcPr>
            <w:tcW w:w="2835" w:type="dxa"/>
            <w:tcBorders>
              <w:bottom w:val="single" w:sz="4" w:space="0" w:color="auto"/>
            </w:tcBorders>
            <w:vAlign w:val="center"/>
          </w:tcPr>
          <w:p w14:paraId="14EC8C71" w14:textId="77777777" w:rsidR="00C9156A" w:rsidRPr="00D01827" w:rsidRDefault="00C9156A" w:rsidP="00C9156A">
            <w:pPr>
              <w:spacing w:before="120" w:after="120"/>
              <w:jc w:val="both"/>
              <w:rPr>
                <w:rFonts w:ascii="Gudea" w:hAnsi="Gudea"/>
                <w:sz w:val="20"/>
                <w:lang w:val="en-GB"/>
              </w:rPr>
            </w:pPr>
          </w:p>
        </w:tc>
        <w:tc>
          <w:tcPr>
            <w:tcW w:w="2835" w:type="dxa"/>
            <w:tcBorders>
              <w:bottom w:val="single" w:sz="4" w:space="0" w:color="auto"/>
              <w:right w:val="single" w:sz="4" w:space="0" w:color="auto"/>
            </w:tcBorders>
            <w:vAlign w:val="center"/>
          </w:tcPr>
          <w:p w14:paraId="51D4839F" w14:textId="77777777" w:rsidR="00C9156A" w:rsidRPr="00D01827" w:rsidRDefault="00C9156A" w:rsidP="00C9156A">
            <w:pPr>
              <w:spacing w:before="120" w:after="120"/>
              <w:jc w:val="both"/>
              <w:rPr>
                <w:rFonts w:ascii="Gudea" w:hAnsi="Gudea"/>
                <w:sz w:val="20"/>
                <w:lang w:val="en-GB"/>
              </w:rPr>
            </w:pPr>
          </w:p>
        </w:tc>
        <w:tc>
          <w:tcPr>
            <w:tcW w:w="2835" w:type="dxa"/>
            <w:tcBorders>
              <w:left w:val="single" w:sz="4" w:space="0" w:color="auto"/>
              <w:bottom w:val="single" w:sz="4" w:space="0" w:color="auto"/>
            </w:tcBorders>
            <w:vAlign w:val="center"/>
          </w:tcPr>
          <w:p w14:paraId="60CA49EB" w14:textId="77777777" w:rsidR="00C9156A" w:rsidRPr="00D01827" w:rsidRDefault="00C9156A" w:rsidP="00C9156A">
            <w:pPr>
              <w:spacing w:before="120" w:after="120"/>
              <w:jc w:val="both"/>
              <w:rPr>
                <w:rFonts w:ascii="Gudea" w:hAnsi="Gudea"/>
                <w:sz w:val="20"/>
                <w:lang w:val="en-GB"/>
              </w:rPr>
            </w:pPr>
          </w:p>
        </w:tc>
      </w:tr>
      <w:tr w:rsidR="00C9156A" w:rsidRPr="00F0467F" w14:paraId="2B383310" w14:textId="77777777" w:rsidTr="007421E6">
        <w:trPr>
          <w:trHeight w:val="20"/>
        </w:trPr>
        <w:tc>
          <w:tcPr>
            <w:tcW w:w="6091" w:type="dxa"/>
            <w:tcBorders>
              <w:bottom w:val="single" w:sz="4" w:space="0" w:color="auto"/>
            </w:tcBorders>
            <w:vAlign w:val="center"/>
          </w:tcPr>
          <w:p w14:paraId="30F01642" w14:textId="4D9E2B3C" w:rsidR="00C9156A" w:rsidRPr="00D01827" w:rsidRDefault="002721F5" w:rsidP="00C9156A">
            <w:pPr>
              <w:spacing w:before="120" w:after="120"/>
              <w:jc w:val="both"/>
              <w:rPr>
                <w:rFonts w:ascii="Gudea" w:hAnsi="Gudea"/>
                <w:b/>
                <w:bCs/>
                <w:color w:val="162D4C"/>
                <w:sz w:val="20"/>
                <w:lang w:val="en-GB"/>
              </w:rPr>
            </w:pPr>
            <w:r w:rsidRPr="002721F5">
              <w:rPr>
                <w:rFonts w:ascii="Gudea" w:hAnsi="Gudea"/>
                <w:b/>
                <w:bCs/>
                <w:color w:val="162D4C"/>
                <w:sz w:val="20"/>
                <w:lang w:val="en-GB"/>
              </w:rPr>
              <w:t xml:space="preserve">2.2.3. The Committee recommends </w:t>
            </w:r>
            <w:r w:rsidRPr="002721F5">
              <w:rPr>
                <w:rFonts w:ascii="Gudea" w:hAnsi="Gudea"/>
                <w:color w:val="162D4C"/>
                <w:sz w:val="20"/>
                <w:lang w:val="en-GB"/>
              </w:rPr>
              <w:t>that if the board of directors, in exceptional cases, requests a member of the board of directors to take on special duties for the company, for instance, for a short period to take part in the daily management of the company, the board of directors should approve this in order to ensure that the board of directors maintains its independent overall management and control function. It is recommended that the company publishes any decision on allowing a member of the board of directors to take part in the daily management, including the expected duration thereof.</w:t>
            </w:r>
          </w:p>
        </w:tc>
        <w:tc>
          <w:tcPr>
            <w:tcW w:w="2835" w:type="dxa"/>
            <w:tcBorders>
              <w:bottom w:val="single" w:sz="4" w:space="0" w:color="auto"/>
            </w:tcBorders>
            <w:vAlign w:val="center"/>
          </w:tcPr>
          <w:p w14:paraId="0592AEAB" w14:textId="77777777" w:rsidR="00C9156A" w:rsidRPr="00D01827" w:rsidRDefault="00C9156A" w:rsidP="00C9156A">
            <w:pPr>
              <w:spacing w:before="120" w:after="120"/>
              <w:jc w:val="both"/>
              <w:rPr>
                <w:rFonts w:ascii="Gudea" w:hAnsi="Gudea"/>
                <w:sz w:val="20"/>
                <w:lang w:val="en-GB"/>
              </w:rPr>
            </w:pPr>
          </w:p>
        </w:tc>
        <w:tc>
          <w:tcPr>
            <w:tcW w:w="2835" w:type="dxa"/>
            <w:tcBorders>
              <w:bottom w:val="single" w:sz="4" w:space="0" w:color="auto"/>
              <w:right w:val="single" w:sz="4" w:space="0" w:color="auto"/>
            </w:tcBorders>
            <w:vAlign w:val="center"/>
          </w:tcPr>
          <w:p w14:paraId="6743994B" w14:textId="77777777" w:rsidR="00C9156A" w:rsidRPr="00D01827" w:rsidRDefault="00C9156A" w:rsidP="00C9156A">
            <w:pPr>
              <w:spacing w:before="120" w:after="120"/>
              <w:jc w:val="both"/>
              <w:rPr>
                <w:rFonts w:ascii="Gudea" w:hAnsi="Gudea"/>
                <w:sz w:val="20"/>
                <w:lang w:val="en-GB"/>
              </w:rPr>
            </w:pPr>
          </w:p>
        </w:tc>
        <w:tc>
          <w:tcPr>
            <w:tcW w:w="2835" w:type="dxa"/>
            <w:tcBorders>
              <w:left w:val="single" w:sz="4" w:space="0" w:color="auto"/>
              <w:bottom w:val="single" w:sz="4" w:space="0" w:color="auto"/>
            </w:tcBorders>
            <w:vAlign w:val="center"/>
          </w:tcPr>
          <w:p w14:paraId="275CB929" w14:textId="77777777" w:rsidR="00C9156A" w:rsidRPr="00D01827" w:rsidRDefault="00C9156A" w:rsidP="00C9156A">
            <w:pPr>
              <w:spacing w:before="120" w:after="120"/>
              <w:jc w:val="both"/>
              <w:rPr>
                <w:rFonts w:ascii="Gudea" w:hAnsi="Gudea"/>
                <w:sz w:val="20"/>
                <w:lang w:val="en-GB"/>
              </w:rPr>
            </w:pPr>
          </w:p>
        </w:tc>
      </w:tr>
      <w:tr w:rsidR="00C9156A" w:rsidRPr="00F0467F" w14:paraId="1F1401F7" w14:textId="77777777" w:rsidTr="00DE6017">
        <w:trPr>
          <w:trHeight w:val="410"/>
        </w:trPr>
        <w:tc>
          <w:tcPr>
            <w:tcW w:w="14596" w:type="dxa"/>
            <w:gridSpan w:val="4"/>
            <w:tcBorders>
              <w:bottom w:val="nil"/>
              <w:right w:val="nil"/>
            </w:tcBorders>
            <w:shd w:val="clear" w:color="auto" w:fill="162D4C"/>
            <w:vAlign w:val="center"/>
          </w:tcPr>
          <w:p w14:paraId="4FC66003" w14:textId="423C5676" w:rsidR="00C9156A" w:rsidRPr="00D01827" w:rsidRDefault="00C9156A" w:rsidP="00C9156A">
            <w:pPr>
              <w:spacing w:before="120" w:after="240"/>
              <w:jc w:val="both"/>
              <w:rPr>
                <w:rFonts w:ascii="Gudea" w:hAnsi="Gudea"/>
                <w:b/>
                <w:bCs/>
                <w:color w:val="CC9764"/>
                <w:szCs w:val="24"/>
                <w:lang w:val="en-GB"/>
              </w:rPr>
            </w:pPr>
            <w:r w:rsidRPr="00D01827">
              <w:rPr>
                <w:rFonts w:ascii="Gudea" w:hAnsi="Gudea"/>
                <w:b/>
                <w:bCs/>
                <w:color w:val="CC9764"/>
                <w:szCs w:val="24"/>
                <w:lang w:val="en-GB"/>
              </w:rPr>
              <w:t xml:space="preserve">3. </w:t>
            </w:r>
            <w:bookmarkStart w:id="6" w:name="_Toc55995709"/>
            <w:r w:rsidRPr="00D01827">
              <w:rPr>
                <w:rFonts w:ascii="Gudea" w:hAnsi="Gudea"/>
                <w:b/>
                <w:bCs/>
                <w:color w:val="CC9764"/>
                <w:szCs w:val="24"/>
                <w:lang w:val="en-GB"/>
              </w:rPr>
              <w:t>The composition, organisation and evaluation of the board of directors</w:t>
            </w:r>
            <w:bookmarkEnd w:id="6"/>
          </w:p>
        </w:tc>
      </w:tr>
      <w:tr w:rsidR="00C9156A" w:rsidRPr="009618E9" w14:paraId="4C9D36BB" w14:textId="77777777" w:rsidTr="00DE6017">
        <w:trPr>
          <w:trHeight w:val="410"/>
        </w:trPr>
        <w:tc>
          <w:tcPr>
            <w:tcW w:w="14596" w:type="dxa"/>
            <w:gridSpan w:val="4"/>
            <w:tcBorders>
              <w:top w:val="nil"/>
              <w:right w:val="nil"/>
            </w:tcBorders>
            <w:shd w:val="clear" w:color="auto" w:fill="162D4C"/>
            <w:vAlign w:val="center"/>
          </w:tcPr>
          <w:p w14:paraId="76F914BB" w14:textId="1FCDD073" w:rsidR="00C9156A" w:rsidRPr="00D01827" w:rsidRDefault="00C9156A" w:rsidP="00C9156A">
            <w:pPr>
              <w:spacing w:before="120" w:after="120"/>
              <w:jc w:val="both"/>
              <w:rPr>
                <w:rFonts w:ascii="Gudea" w:hAnsi="Gudea"/>
                <w:b/>
                <w:color w:val="FFFFFF" w:themeColor="background1"/>
                <w:sz w:val="22"/>
                <w:lang w:val="en-GB"/>
              </w:rPr>
            </w:pPr>
            <w:r w:rsidRPr="00D01827">
              <w:rPr>
                <w:rFonts w:ascii="Gudea" w:hAnsi="Gudea"/>
                <w:b/>
                <w:color w:val="FFFFFF" w:themeColor="background1"/>
                <w:sz w:val="22"/>
                <w:lang w:val="en-GB"/>
              </w:rPr>
              <w:t xml:space="preserve">3.1. </w:t>
            </w:r>
            <w:r>
              <w:rPr>
                <w:rFonts w:ascii="Gudea" w:hAnsi="Gudea"/>
                <w:b/>
                <w:color w:val="FFFFFF" w:themeColor="background1"/>
                <w:sz w:val="22"/>
                <w:lang w:val="en-GB"/>
              </w:rPr>
              <w:t>Composition</w:t>
            </w:r>
          </w:p>
        </w:tc>
      </w:tr>
      <w:tr w:rsidR="00C9156A" w:rsidRPr="00F0467F" w14:paraId="65DFF8C5" w14:textId="77777777" w:rsidTr="007421E6">
        <w:trPr>
          <w:trHeight w:val="20"/>
        </w:trPr>
        <w:tc>
          <w:tcPr>
            <w:tcW w:w="6091" w:type="dxa"/>
            <w:vAlign w:val="center"/>
          </w:tcPr>
          <w:p w14:paraId="66463BD4" w14:textId="77777777" w:rsidR="002721F5" w:rsidRPr="002721F5" w:rsidRDefault="002721F5" w:rsidP="002721F5">
            <w:pPr>
              <w:spacing w:before="120" w:after="120"/>
              <w:jc w:val="both"/>
              <w:rPr>
                <w:rFonts w:ascii="Gudea" w:hAnsi="Gudea"/>
                <w:color w:val="162D4C"/>
                <w:sz w:val="20"/>
                <w:lang w:val="en-GB"/>
              </w:rPr>
            </w:pPr>
            <w:r w:rsidRPr="002721F5">
              <w:rPr>
                <w:rFonts w:ascii="Gudea" w:hAnsi="Gudea"/>
                <w:b/>
                <w:bCs/>
                <w:color w:val="162D4C"/>
                <w:sz w:val="20"/>
                <w:lang w:val="en-GB"/>
              </w:rPr>
              <w:lastRenderedPageBreak/>
              <w:t xml:space="preserve">3.1.1. The Committee recommends </w:t>
            </w:r>
            <w:r w:rsidRPr="002721F5">
              <w:rPr>
                <w:rFonts w:ascii="Gudea" w:hAnsi="Gudea"/>
                <w:color w:val="162D4C"/>
                <w:sz w:val="20"/>
                <w:lang w:val="en-GB"/>
              </w:rPr>
              <w:t xml:space="preserve">that the board of directors on an annual basis reviews and in the management commentary and/or on the company’s website states </w:t>
            </w:r>
          </w:p>
          <w:p w14:paraId="2F721C3E" w14:textId="77777777" w:rsidR="002721F5" w:rsidRPr="002721F5" w:rsidRDefault="002721F5" w:rsidP="002721F5">
            <w:pPr>
              <w:pStyle w:val="Listeafsnit"/>
              <w:numPr>
                <w:ilvl w:val="0"/>
                <w:numId w:val="7"/>
              </w:numPr>
              <w:spacing w:before="120" w:after="120"/>
              <w:jc w:val="both"/>
              <w:rPr>
                <w:rFonts w:ascii="Gudea" w:hAnsi="Gudea"/>
                <w:color w:val="162D4C"/>
                <w:sz w:val="20"/>
                <w:lang w:val="en-GB"/>
              </w:rPr>
            </w:pPr>
            <w:r w:rsidRPr="002721F5">
              <w:rPr>
                <w:rFonts w:ascii="Gudea" w:hAnsi="Gudea"/>
                <w:color w:val="162D4C"/>
                <w:sz w:val="20"/>
                <w:lang w:val="en-GB"/>
              </w:rPr>
              <w:t xml:space="preserve">which qualifications the board of directors should possess, collectively and individually, in order to perform its duties in the best possible manner, and </w:t>
            </w:r>
          </w:p>
          <w:p w14:paraId="5D9C1A0D" w14:textId="47B24366" w:rsidR="00C9156A" w:rsidRPr="00D01827" w:rsidRDefault="002721F5" w:rsidP="002721F5">
            <w:pPr>
              <w:pStyle w:val="Listeafsnit"/>
              <w:numPr>
                <w:ilvl w:val="0"/>
                <w:numId w:val="7"/>
              </w:numPr>
              <w:spacing w:before="120" w:after="120"/>
              <w:jc w:val="both"/>
              <w:rPr>
                <w:rFonts w:ascii="Gudea" w:hAnsi="Gudea"/>
                <w:color w:val="162D4C"/>
                <w:sz w:val="20"/>
                <w:lang w:val="en-GB"/>
              </w:rPr>
            </w:pPr>
            <w:r w:rsidRPr="002721F5">
              <w:rPr>
                <w:rFonts w:ascii="Gudea" w:hAnsi="Gudea"/>
                <w:color w:val="162D4C"/>
                <w:sz w:val="20"/>
                <w:lang w:val="en-GB"/>
              </w:rPr>
              <w:t>the composition of and diversity on the board of directors.</w:t>
            </w:r>
          </w:p>
        </w:tc>
        <w:tc>
          <w:tcPr>
            <w:tcW w:w="2835" w:type="dxa"/>
            <w:vAlign w:val="center"/>
          </w:tcPr>
          <w:p w14:paraId="48A03CD7" w14:textId="1FE9D4A0" w:rsidR="00C9156A" w:rsidRPr="00D01827" w:rsidRDefault="00C9156A" w:rsidP="00C9156A">
            <w:pPr>
              <w:spacing w:before="120" w:after="120"/>
              <w:jc w:val="both"/>
              <w:rPr>
                <w:rFonts w:ascii="Gudea" w:hAnsi="Gudea"/>
                <w:sz w:val="20"/>
                <w:lang w:val="en-GB"/>
              </w:rPr>
            </w:pPr>
          </w:p>
        </w:tc>
        <w:tc>
          <w:tcPr>
            <w:tcW w:w="2835" w:type="dxa"/>
            <w:tcBorders>
              <w:bottom w:val="single" w:sz="4" w:space="0" w:color="auto"/>
              <w:right w:val="single" w:sz="4" w:space="0" w:color="auto"/>
            </w:tcBorders>
            <w:vAlign w:val="center"/>
          </w:tcPr>
          <w:p w14:paraId="464ACEF5" w14:textId="77777777" w:rsidR="00C9156A" w:rsidRPr="00D01827" w:rsidRDefault="00C9156A" w:rsidP="00C9156A">
            <w:pPr>
              <w:spacing w:before="120" w:after="120"/>
              <w:jc w:val="both"/>
              <w:rPr>
                <w:rFonts w:ascii="Gudea" w:hAnsi="Gudea"/>
                <w:sz w:val="20"/>
                <w:lang w:val="en-GB"/>
              </w:rPr>
            </w:pPr>
          </w:p>
        </w:tc>
        <w:tc>
          <w:tcPr>
            <w:tcW w:w="2835" w:type="dxa"/>
            <w:tcBorders>
              <w:left w:val="single" w:sz="4" w:space="0" w:color="auto"/>
            </w:tcBorders>
            <w:vAlign w:val="center"/>
          </w:tcPr>
          <w:p w14:paraId="3EF27874" w14:textId="77777777" w:rsidR="00C9156A" w:rsidRPr="00D01827" w:rsidRDefault="00C9156A" w:rsidP="00C9156A">
            <w:pPr>
              <w:spacing w:before="120" w:after="120"/>
              <w:jc w:val="both"/>
              <w:rPr>
                <w:rFonts w:ascii="Gudea" w:hAnsi="Gudea"/>
                <w:sz w:val="20"/>
                <w:lang w:val="en-GB"/>
              </w:rPr>
            </w:pPr>
          </w:p>
        </w:tc>
      </w:tr>
      <w:tr w:rsidR="00C9156A" w:rsidRPr="00F0467F" w14:paraId="51A2A4C2" w14:textId="77777777" w:rsidTr="007421E6">
        <w:trPr>
          <w:cantSplit/>
          <w:trHeight w:val="20"/>
        </w:trPr>
        <w:tc>
          <w:tcPr>
            <w:tcW w:w="6091" w:type="dxa"/>
            <w:vAlign w:val="center"/>
          </w:tcPr>
          <w:p w14:paraId="5C579D78" w14:textId="40BB2DDA" w:rsidR="00C9156A" w:rsidRPr="00D01827" w:rsidRDefault="00FB28AB" w:rsidP="00C9156A">
            <w:pPr>
              <w:spacing w:before="120" w:after="120"/>
              <w:jc w:val="both"/>
              <w:rPr>
                <w:rFonts w:ascii="Gudea" w:hAnsi="Gudea"/>
                <w:color w:val="162D4C"/>
                <w:sz w:val="20"/>
                <w:lang w:val="en-GB"/>
              </w:rPr>
            </w:pPr>
            <w:r w:rsidRPr="00FB28AB">
              <w:rPr>
                <w:rFonts w:ascii="Gudea" w:hAnsi="Gudea"/>
                <w:b/>
                <w:bCs/>
                <w:color w:val="162D4C"/>
                <w:sz w:val="20"/>
                <w:lang w:val="en-GB"/>
              </w:rPr>
              <w:t xml:space="preserve">3.1.2. The Committee recommends </w:t>
            </w:r>
            <w:r w:rsidRPr="00FB28AB">
              <w:rPr>
                <w:rFonts w:ascii="Gudea" w:hAnsi="Gudea"/>
                <w:color w:val="162D4C"/>
                <w:sz w:val="20"/>
                <w:lang w:val="en-GB"/>
              </w:rPr>
              <w:t>that the board of directors on an annual basis discusses the company’s activities in order to ensure relevant diversity at the different management levels of the company and adopts a diversity policy, which is included in the management commentary and/or available on the company's website.</w:t>
            </w:r>
          </w:p>
        </w:tc>
        <w:tc>
          <w:tcPr>
            <w:tcW w:w="2835" w:type="dxa"/>
            <w:vAlign w:val="center"/>
          </w:tcPr>
          <w:p w14:paraId="2840E0C2" w14:textId="77777777" w:rsidR="00C9156A" w:rsidRPr="00D01827" w:rsidRDefault="00C9156A" w:rsidP="00C9156A">
            <w:pPr>
              <w:spacing w:before="120" w:after="120"/>
              <w:jc w:val="both"/>
              <w:rPr>
                <w:rFonts w:ascii="Gudea" w:hAnsi="Gudea"/>
                <w:sz w:val="20"/>
                <w:lang w:val="en-GB"/>
              </w:rPr>
            </w:pPr>
          </w:p>
        </w:tc>
        <w:tc>
          <w:tcPr>
            <w:tcW w:w="2835" w:type="dxa"/>
            <w:tcBorders>
              <w:right w:val="single" w:sz="4" w:space="0" w:color="auto"/>
            </w:tcBorders>
            <w:vAlign w:val="center"/>
          </w:tcPr>
          <w:p w14:paraId="5BFB35FC" w14:textId="77777777" w:rsidR="00C9156A" w:rsidRPr="00D01827" w:rsidRDefault="00C9156A" w:rsidP="00C9156A">
            <w:pPr>
              <w:spacing w:before="120" w:after="120"/>
              <w:jc w:val="both"/>
              <w:rPr>
                <w:rFonts w:ascii="Gudea" w:hAnsi="Gudea"/>
                <w:sz w:val="20"/>
                <w:lang w:val="en-GB"/>
              </w:rPr>
            </w:pPr>
          </w:p>
        </w:tc>
        <w:tc>
          <w:tcPr>
            <w:tcW w:w="2835" w:type="dxa"/>
            <w:tcBorders>
              <w:left w:val="single" w:sz="4" w:space="0" w:color="auto"/>
            </w:tcBorders>
            <w:vAlign w:val="center"/>
          </w:tcPr>
          <w:p w14:paraId="4F52F7A3" w14:textId="77777777" w:rsidR="00C9156A" w:rsidRPr="00D01827" w:rsidRDefault="00C9156A" w:rsidP="00C9156A">
            <w:pPr>
              <w:spacing w:before="120" w:after="120"/>
              <w:jc w:val="both"/>
              <w:rPr>
                <w:rFonts w:ascii="Gudea" w:hAnsi="Gudea"/>
                <w:sz w:val="20"/>
                <w:lang w:val="en-GB"/>
              </w:rPr>
            </w:pPr>
          </w:p>
        </w:tc>
      </w:tr>
      <w:tr w:rsidR="00C9156A" w:rsidRPr="00F0467F" w14:paraId="7918A582" w14:textId="77777777" w:rsidTr="00D01827">
        <w:trPr>
          <w:trHeight w:val="20"/>
        </w:trPr>
        <w:tc>
          <w:tcPr>
            <w:tcW w:w="6091" w:type="dxa"/>
          </w:tcPr>
          <w:p w14:paraId="414C9E21" w14:textId="6356D2BC" w:rsidR="00C9156A" w:rsidRPr="00D01827" w:rsidRDefault="00FB28AB" w:rsidP="00C9156A">
            <w:pPr>
              <w:spacing w:before="120" w:after="120"/>
              <w:jc w:val="both"/>
              <w:rPr>
                <w:rFonts w:ascii="Gudea" w:hAnsi="Gudea"/>
                <w:color w:val="162D4C"/>
                <w:sz w:val="20"/>
                <w:lang w:val="en-GB"/>
              </w:rPr>
            </w:pPr>
            <w:r w:rsidRPr="00FB28AB">
              <w:rPr>
                <w:rFonts w:ascii="Gudea" w:hAnsi="Gudea"/>
                <w:b/>
                <w:bCs/>
                <w:color w:val="162D4C"/>
                <w:sz w:val="20"/>
                <w:lang w:val="en-GB"/>
              </w:rPr>
              <w:t xml:space="preserve">3.1.3. The committee recommends </w:t>
            </w:r>
            <w:r w:rsidRPr="00FB28AB">
              <w:rPr>
                <w:rFonts w:ascii="Gudea" w:hAnsi="Gudea"/>
                <w:color w:val="162D4C"/>
                <w:sz w:val="20"/>
                <w:lang w:val="en-GB"/>
              </w:rPr>
              <w:t>that candidates for the board of directors are recruited based on a thorough process approved by the board of directors.  The Committee recommends that in assessing candidates for the board of directors – in addition to individual competencies and qualifications – the need for continuity, renewal and diversity is also considered.</w:t>
            </w:r>
          </w:p>
        </w:tc>
        <w:tc>
          <w:tcPr>
            <w:tcW w:w="2835" w:type="dxa"/>
            <w:vAlign w:val="center"/>
          </w:tcPr>
          <w:p w14:paraId="335B23F7" w14:textId="77777777" w:rsidR="00C9156A" w:rsidRPr="00D01827" w:rsidRDefault="00C9156A" w:rsidP="00C9156A">
            <w:pPr>
              <w:spacing w:before="120" w:after="120"/>
              <w:jc w:val="both"/>
              <w:rPr>
                <w:rFonts w:ascii="Gudea" w:hAnsi="Gudea"/>
                <w:sz w:val="20"/>
                <w:lang w:val="en-GB"/>
              </w:rPr>
            </w:pPr>
          </w:p>
        </w:tc>
        <w:tc>
          <w:tcPr>
            <w:tcW w:w="2835" w:type="dxa"/>
            <w:tcBorders>
              <w:bottom w:val="single" w:sz="4" w:space="0" w:color="auto"/>
              <w:right w:val="single" w:sz="4" w:space="0" w:color="auto"/>
            </w:tcBorders>
            <w:vAlign w:val="center"/>
          </w:tcPr>
          <w:p w14:paraId="4A7F9B9D" w14:textId="77777777" w:rsidR="00C9156A" w:rsidRPr="00D01827" w:rsidRDefault="00C9156A" w:rsidP="00C9156A">
            <w:pPr>
              <w:spacing w:before="120" w:after="120"/>
              <w:jc w:val="both"/>
              <w:rPr>
                <w:rFonts w:ascii="Gudea" w:hAnsi="Gudea"/>
                <w:sz w:val="20"/>
                <w:lang w:val="en-GB"/>
              </w:rPr>
            </w:pPr>
          </w:p>
        </w:tc>
        <w:tc>
          <w:tcPr>
            <w:tcW w:w="2835" w:type="dxa"/>
            <w:tcBorders>
              <w:left w:val="single" w:sz="4" w:space="0" w:color="auto"/>
            </w:tcBorders>
            <w:vAlign w:val="center"/>
          </w:tcPr>
          <w:p w14:paraId="1C81AA8F" w14:textId="77777777" w:rsidR="00C9156A" w:rsidRPr="00D01827" w:rsidRDefault="00C9156A" w:rsidP="00C9156A">
            <w:pPr>
              <w:spacing w:before="120" w:after="120"/>
              <w:jc w:val="both"/>
              <w:rPr>
                <w:rFonts w:ascii="Gudea" w:hAnsi="Gudea"/>
                <w:sz w:val="20"/>
                <w:lang w:val="en-GB"/>
              </w:rPr>
            </w:pPr>
          </w:p>
        </w:tc>
      </w:tr>
      <w:tr w:rsidR="00C9156A" w:rsidRPr="009618E9" w14:paraId="51BC7C2C" w14:textId="77777777" w:rsidTr="007421E6">
        <w:trPr>
          <w:trHeight w:val="20"/>
        </w:trPr>
        <w:tc>
          <w:tcPr>
            <w:tcW w:w="6091" w:type="dxa"/>
            <w:vAlign w:val="center"/>
          </w:tcPr>
          <w:p w14:paraId="66B736E2" w14:textId="77777777" w:rsidR="00FB28AB" w:rsidRPr="00FB28AB" w:rsidRDefault="00FB28AB" w:rsidP="00FB28AB">
            <w:pPr>
              <w:spacing w:before="120" w:after="120"/>
              <w:jc w:val="both"/>
              <w:rPr>
                <w:rFonts w:ascii="Gudea" w:hAnsi="Gudea"/>
                <w:color w:val="162D4C"/>
                <w:sz w:val="20"/>
                <w:lang w:val="en-GB"/>
              </w:rPr>
            </w:pPr>
            <w:r w:rsidRPr="00FB28AB">
              <w:rPr>
                <w:rFonts w:ascii="Gudea" w:hAnsi="Gudea"/>
                <w:b/>
                <w:bCs/>
                <w:color w:val="162D4C"/>
                <w:sz w:val="20"/>
                <w:lang w:val="en-GB"/>
              </w:rPr>
              <w:t>3.1.4. The Committee recommends</w:t>
            </w:r>
            <w:r w:rsidRPr="00FB28AB">
              <w:rPr>
                <w:rFonts w:ascii="Gudea" w:hAnsi="Gudea"/>
                <w:color w:val="162D4C"/>
                <w:sz w:val="20"/>
                <w:lang w:val="en-GB"/>
              </w:rPr>
              <w:t xml:space="preserve"> that the notice convening general meetings, where election of members to the board of directors is on the agenda - in addition to the statutory items - also includes a description of the proposed candidates’</w:t>
            </w:r>
          </w:p>
          <w:p w14:paraId="1DC15A83" w14:textId="77777777" w:rsidR="00FB28AB" w:rsidRPr="00FB28AB" w:rsidRDefault="00FB28AB" w:rsidP="00FB28AB">
            <w:pPr>
              <w:pStyle w:val="Listeafsnit"/>
              <w:numPr>
                <w:ilvl w:val="0"/>
                <w:numId w:val="7"/>
              </w:numPr>
              <w:spacing w:before="120" w:after="120"/>
              <w:jc w:val="both"/>
              <w:rPr>
                <w:rFonts w:ascii="Gudea" w:hAnsi="Gudea"/>
                <w:color w:val="162D4C"/>
                <w:sz w:val="20"/>
                <w:lang w:val="en-GB"/>
              </w:rPr>
            </w:pPr>
            <w:r w:rsidRPr="00FB28AB">
              <w:rPr>
                <w:rFonts w:ascii="Gudea" w:hAnsi="Gudea"/>
                <w:color w:val="162D4C"/>
                <w:sz w:val="20"/>
                <w:lang w:val="en-GB"/>
              </w:rPr>
              <w:t>qualifications,</w:t>
            </w:r>
          </w:p>
          <w:p w14:paraId="1DBA2856" w14:textId="77777777" w:rsidR="00FB28AB" w:rsidRPr="00FB28AB" w:rsidRDefault="00FB28AB" w:rsidP="00FB28AB">
            <w:pPr>
              <w:pStyle w:val="Listeafsnit"/>
              <w:numPr>
                <w:ilvl w:val="0"/>
                <w:numId w:val="7"/>
              </w:numPr>
              <w:spacing w:before="120" w:after="120"/>
              <w:jc w:val="both"/>
              <w:rPr>
                <w:rFonts w:ascii="Gudea" w:hAnsi="Gudea"/>
                <w:color w:val="162D4C"/>
                <w:sz w:val="20"/>
                <w:lang w:val="en-GB"/>
              </w:rPr>
            </w:pPr>
            <w:r w:rsidRPr="00FB28AB">
              <w:rPr>
                <w:rFonts w:ascii="Gudea" w:hAnsi="Gudea"/>
                <w:color w:val="162D4C"/>
                <w:sz w:val="20"/>
                <w:lang w:val="en-GB"/>
              </w:rPr>
              <w:t xml:space="preserve">other managerial duties in commercial undertakings, including board committees, </w:t>
            </w:r>
          </w:p>
          <w:p w14:paraId="09AA2F6E" w14:textId="77777777" w:rsidR="00FB28AB" w:rsidRPr="00FB28AB" w:rsidRDefault="00FB28AB" w:rsidP="00FB28AB">
            <w:pPr>
              <w:pStyle w:val="Listeafsnit"/>
              <w:numPr>
                <w:ilvl w:val="0"/>
                <w:numId w:val="7"/>
              </w:numPr>
              <w:spacing w:before="120" w:after="120"/>
              <w:jc w:val="both"/>
              <w:rPr>
                <w:rFonts w:ascii="Gudea" w:hAnsi="Gudea"/>
                <w:color w:val="162D4C"/>
                <w:sz w:val="20"/>
                <w:lang w:val="en-GB"/>
              </w:rPr>
            </w:pPr>
            <w:r w:rsidRPr="00FB28AB">
              <w:rPr>
                <w:rFonts w:ascii="Gudea" w:hAnsi="Gudea"/>
                <w:color w:val="162D4C"/>
                <w:sz w:val="20"/>
                <w:lang w:val="en-GB"/>
              </w:rPr>
              <w:t xml:space="preserve">demanding organisational assignments and </w:t>
            </w:r>
          </w:p>
          <w:p w14:paraId="41926C94" w14:textId="60EA4DAD" w:rsidR="00C9156A" w:rsidRPr="00FB28AB" w:rsidRDefault="00FB28AB" w:rsidP="00FB28AB">
            <w:pPr>
              <w:pStyle w:val="Listeafsnit"/>
              <w:numPr>
                <w:ilvl w:val="0"/>
                <w:numId w:val="7"/>
              </w:numPr>
              <w:spacing w:before="120" w:after="120"/>
              <w:jc w:val="both"/>
              <w:rPr>
                <w:rFonts w:ascii="Gudea" w:hAnsi="Gudea"/>
                <w:color w:val="162D4C"/>
                <w:sz w:val="20"/>
                <w:lang w:val="en-GB"/>
              </w:rPr>
            </w:pPr>
            <w:r w:rsidRPr="00FB28AB">
              <w:rPr>
                <w:rFonts w:ascii="Gudea" w:hAnsi="Gudea"/>
                <w:color w:val="162D4C"/>
                <w:sz w:val="20"/>
                <w:lang w:val="en-GB"/>
              </w:rPr>
              <w:lastRenderedPageBreak/>
              <w:t>independence.</w:t>
            </w:r>
          </w:p>
        </w:tc>
        <w:tc>
          <w:tcPr>
            <w:tcW w:w="2835" w:type="dxa"/>
            <w:vAlign w:val="center"/>
          </w:tcPr>
          <w:p w14:paraId="295C4973" w14:textId="77777777" w:rsidR="00C9156A" w:rsidRPr="00D01827" w:rsidRDefault="00C9156A" w:rsidP="00C9156A">
            <w:pPr>
              <w:spacing w:before="120" w:after="120"/>
              <w:jc w:val="both"/>
              <w:rPr>
                <w:rFonts w:ascii="Gudea" w:hAnsi="Gudea"/>
                <w:sz w:val="20"/>
                <w:lang w:val="en-GB"/>
              </w:rPr>
            </w:pPr>
          </w:p>
        </w:tc>
        <w:tc>
          <w:tcPr>
            <w:tcW w:w="2835" w:type="dxa"/>
            <w:tcBorders>
              <w:right w:val="single" w:sz="4" w:space="0" w:color="auto"/>
            </w:tcBorders>
            <w:vAlign w:val="center"/>
          </w:tcPr>
          <w:p w14:paraId="547A98E4" w14:textId="77777777" w:rsidR="00C9156A" w:rsidRPr="00D01827" w:rsidRDefault="00C9156A" w:rsidP="00C9156A">
            <w:pPr>
              <w:spacing w:before="120" w:after="120"/>
              <w:jc w:val="both"/>
              <w:rPr>
                <w:rFonts w:ascii="Gudea" w:hAnsi="Gudea"/>
                <w:sz w:val="20"/>
                <w:lang w:val="en-GB"/>
              </w:rPr>
            </w:pPr>
          </w:p>
        </w:tc>
        <w:tc>
          <w:tcPr>
            <w:tcW w:w="2835" w:type="dxa"/>
            <w:tcBorders>
              <w:left w:val="single" w:sz="4" w:space="0" w:color="auto"/>
            </w:tcBorders>
            <w:vAlign w:val="center"/>
          </w:tcPr>
          <w:p w14:paraId="7E48540B" w14:textId="77777777" w:rsidR="00C9156A" w:rsidRPr="00D01827" w:rsidRDefault="00C9156A" w:rsidP="00C9156A">
            <w:pPr>
              <w:spacing w:before="120" w:after="120"/>
              <w:jc w:val="both"/>
              <w:rPr>
                <w:rFonts w:ascii="Gudea" w:hAnsi="Gudea"/>
                <w:sz w:val="20"/>
                <w:lang w:val="en-GB"/>
              </w:rPr>
            </w:pPr>
          </w:p>
        </w:tc>
      </w:tr>
      <w:tr w:rsidR="00C9156A" w:rsidRPr="00F0467F" w14:paraId="5BCC5611" w14:textId="77777777" w:rsidTr="007421E6">
        <w:trPr>
          <w:trHeight w:val="20"/>
        </w:trPr>
        <w:tc>
          <w:tcPr>
            <w:tcW w:w="6091" w:type="dxa"/>
            <w:vAlign w:val="center"/>
          </w:tcPr>
          <w:p w14:paraId="32003C30" w14:textId="4F736792" w:rsidR="00C9156A" w:rsidRPr="00D01827" w:rsidRDefault="00FB28AB" w:rsidP="00C9156A">
            <w:pPr>
              <w:spacing w:before="120" w:after="120"/>
              <w:jc w:val="both"/>
              <w:rPr>
                <w:rFonts w:ascii="Gudea" w:hAnsi="Gudea"/>
                <w:color w:val="162D4C"/>
                <w:sz w:val="20"/>
                <w:lang w:val="en-GB"/>
              </w:rPr>
            </w:pPr>
            <w:r w:rsidRPr="00FB28AB">
              <w:rPr>
                <w:rFonts w:ascii="Gudea" w:hAnsi="Gudea"/>
                <w:b/>
                <w:bCs/>
                <w:color w:val="162D4C"/>
                <w:sz w:val="20"/>
                <w:lang w:val="en-GB"/>
              </w:rPr>
              <w:t xml:space="preserve">3.1.5. The Committee recommends </w:t>
            </w:r>
            <w:r w:rsidRPr="00FB28AB">
              <w:rPr>
                <w:rFonts w:ascii="Gudea" w:hAnsi="Gudea"/>
                <w:color w:val="162D4C"/>
                <w:sz w:val="20"/>
                <w:lang w:val="en-GB"/>
              </w:rPr>
              <w:t>that members to the board of directors elected by the general meeting stand for election every year at the annual general meeting, and that the members are nominated and elected individually.</w:t>
            </w:r>
          </w:p>
        </w:tc>
        <w:tc>
          <w:tcPr>
            <w:tcW w:w="2835" w:type="dxa"/>
            <w:vAlign w:val="center"/>
          </w:tcPr>
          <w:p w14:paraId="4E11B901" w14:textId="77777777" w:rsidR="00C9156A" w:rsidRPr="00D01827" w:rsidRDefault="00C9156A" w:rsidP="00C9156A">
            <w:pPr>
              <w:spacing w:before="120" w:after="120"/>
              <w:jc w:val="both"/>
              <w:rPr>
                <w:rFonts w:ascii="Gudea" w:hAnsi="Gudea"/>
                <w:sz w:val="20"/>
                <w:lang w:val="en-GB"/>
              </w:rPr>
            </w:pPr>
          </w:p>
        </w:tc>
        <w:tc>
          <w:tcPr>
            <w:tcW w:w="2835" w:type="dxa"/>
            <w:tcBorders>
              <w:right w:val="single" w:sz="4" w:space="0" w:color="auto"/>
            </w:tcBorders>
            <w:vAlign w:val="center"/>
          </w:tcPr>
          <w:p w14:paraId="18F344B7" w14:textId="77777777" w:rsidR="00C9156A" w:rsidRPr="00D01827" w:rsidRDefault="00C9156A" w:rsidP="00C9156A">
            <w:pPr>
              <w:spacing w:before="120" w:after="120"/>
              <w:jc w:val="both"/>
              <w:rPr>
                <w:rFonts w:ascii="Gudea" w:hAnsi="Gudea"/>
                <w:sz w:val="20"/>
                <w:lang w:val="en-GB"/>
              </w:rPr>
            </w:pPr>
          </w:p>
        </w:tc>
        <w:tc>
          <w:tcPr>
            <w:tcW w:w="2835" w:type="dxa"/>
            <w:tcBorders>
              <w:left w:val="single" w:sz="4" w:space="0" w:color="auto"/>
            </w:tcBorders>
            <w:vAlign w:val="center"/>
          </w:tcPr>
          <w:p w14:paraId="479FE2CB" w14:textId="77777777" w:rsidR="00C9156A" w:rsidRPr="00D01827" w:rsidRDefault="00C9156A" w:rsidP="00C9156A">
            <w:pPr>
              <w:spacing w:before="120" w:after="120"/>
              <w:jc w:val="both"/>
              <w:rPr>
                <w:rFonts w:ascii="Gudea" w:hAnsi="Gudea"/>
                <w:sz w:val="20"/>
                <w:lang w:val="en-GB"/>
              </w:rPr>
            </w:pPr>
          </w:p>
        </w:tc>
      </w:tr>
      <w:tr w:rsidR="00C9156A" w:rsidRPr="00F0467F" w14:paraId="2A66B26D" w14:textId="77777777" w:rsidTr="00DE6017">
        <w:trPr>
          <w:trHeight w:val="410"/>
        </w:trPr>
        <w:tc>
          <w:tcPr>
            <w:tcW w:w="14596" w:type="dxa"/>
            <w:gridSpan w:val="4"/>
            <w:tcBorders>
              <w:top w:val="nil"/>
              <w:right w:val="nil"/>
            </w:tcBorders>
            <w:shd w:val="clear" w:color="auto" w:fill="162D4C"/>
            <w:vAlign w:val="center"/>
          </w:tcPr>
          <w:p w14:paraId="298D3CEA" w14:textId="0BA2B1B9" w:rsidR="00C9156A" w:rsidRPr="00D01827" w:rsidRDefault="00C9156A" w:rsidP="00C9156A">
            <w:pPr>
              <w:spacing w:before="120" w:after="120"/>
              <w:jc w:val="both"/>
              <w:rPr>
                <w:rFonts w:ascii="Gudea" w:hAnsi="Gudea"/>
                <w:b/>
                <w:color w:val="FFFFFF" w:themeColor="background1"/>
                <w:sz w:val="22"/>
                <w:lang w:val="en-GB"/>
              </w:rPr>
            </w:pPr>
            <w:bookmarkStart w:id="7" w:name="_Hlk33537639"/>
            <w:r w:rsidRPr="00D01827">
              <w:rPr>
                <w:rFonts w:ascii="Gudea" w:hAnsi="Gudea"/>
                <w:b/>
                <w:color w:val="FFFFFF" w:themeColor="background1"/>
                <w:sz w:val="22"/>
                <w:lang w:val="en-GB"/>
              </w:rPr>
              <w:t xml:space="preserve">3.2. </w:t>
            </w:r>
            <w:bookmarkStart w:id="8" w:name="_Toc55995711"/>
            <w:r w:rsidRPr="00D01827">
              <w:rPr>
                <w:rFonts w:ascii="Gudea" w:hAnsi="Gudea"/>
                <w:b/>
                <w:color w:val="FFFFFF" w:themeColor="background1"/>
                <w:sz w:val="22"/>
                <w:lang w:val="en-GB"/>
              </w:rPr>
              <w:t>The board of director’s independence</w:t>
            </w:r>
            <w:bookmarkEnd w:id="8"/>
          </w:p>
        </w:tc>
      </w:tr>
      <w:tr w:rsidR="00CB2E76" w:rsidRPr="00F0467F" w14:paraId="514A46DC" w14:textId="77777777" w:rsidTr="004F0777">
        <w:trPr>
          <w:trHeight w:val="20"/>
        </w:trPr>
        <w:tc>
          <w:tcPr>
            <w:tcW w:w="6091" w:type="dxa"/>
          </w:tcPr>
          <w:p w14:paraId="276F8F41" w14:textId="77777777" w:rsidR="00CB2E76" w:rsidRPr="00CB2E76" w:rsidRDefault="00CB2E76" w:rsidP="00CB2E76">
            <w:pPr>
              <w:spacing w:before="120" w:after="120"/>
              <w:jc w:val="both"/>
              <w:rPr>
                <w:rFonts w:ascii="Gudea" w:hAnsi="Gudea"/>
                <w:b/>
                <w:bCs/>
                <w:color w:val="162D4C"/>
                <w:sz w:val="20"/>
                <w:lang w:val="en-GB"/>
              </w:rPr>
            </w:pPr>
            <w:bookmarkStart w:id="9" w:name="_Hlk33537660"/>
            <w:bookmarkEnd w:id="7"/>
            <w:r w:rsidRPr="00CB2E76">
              <w:rPr>
                <w:rFonts w:ascii="Gudea" w:hAnsi="Gudea"/>
                <w:b/>
                <w:bCs/>
                <w:color w:val="162D4C"/>
                <w:sz w:val="20"/>
                <w:lang w:val="en-GB"/>
              </w:rPr>
              <w:t xml:space="preserve">3.2.1. The Committee recommends </w:t>
            </w:r>
            <w:r w:rsidRPr="00CB2E76">
              <w:rPr>
                <w:rFonts w:ascii="Gudea" w:hAnsi="Gudea"/>
                <w:color w:val="162D4C"/>
                <w:sz w:val="20"/>
                <w:lang w:val="en-GB"/>
              </w:rPr>
              <w:t>that at least half of the members of the board of directors elected in general meeting are independent in order for the board of directors to be able to act independently avoiding conflicts of interests.</w:t>
            </w:r>
          </w:p>
          <w:p w14:paraId="4D0D622C" w14:textId="77777777" w:rsidR="00CB2E76" w:rsidRPr="00CB2E76" w:rsidRDefault="00CB2E76" w:rsidP="00CB2E76">
            <w:pPr>
              <w:spacing w:before="120" w:after="120"/>
              <w:jc w:val="both"/>
              <w:rPr>
                <w:rFonts w:ascii="Gudea" w:hAnsi="Gudea"/>
                <w:color w:val="162D4C"/>
                <w:sz w:val="20"/>
                <w:lang w:val="en-GB"/>
              </w:rPr>
            </w:pPr>
            <w:r w:rsidRPr="00CB2E76">
              <w:rPr>
                <w:rFonts w:ascii="Gudea" w:hAnsi="Gudea"/>
                <w:color w:val="162D4C"/>
                <w:sz w:val="20"/>
                <w:lang w:val="en-GB"/>
              </w:rPr>
              <w:t>In order to be independent, the member in question may not:</w:t>
            </w:r>
          </w:p>
          <w:p w14:paraId="157C0588" w14:textId="77777777" w:rsidR="00CB2E76" w:rsidRPr="00CB2E76" w:rsidRDefault="00CB2E76" w:rsidP="00CB2E76">
            <w:pPr>
              <w:pStyle w:val="Listeafsnit"/>
              <w:numPr>
                <w:ilvl w:val="0"/>
                <w:numId w:val="7"/>
              </w:numPr>
              <w:spacing w:before="120" w:after="120"/>
              <w:jc w:val="both"/>
              <w:rPr>
                <w:rFonts w:ascii="Gudea" w:hAnsi="Gudea"/>
                <w:color w:val="162D4C"/>
                <w:sz w:val="20"/>
                <w:lang w:val="en-GB"/>
              </w:rPr>
            </w:pPr>
            <w:r w:rsidRPr="00CB2E76">
              <w:rPr>
                <w:rFonts w:ascii="Gudea" w:hAnsi="Gudea"/>
                <w:color w:val="162D4C"/>
                <w:sz w:val="20"/>
                <w:lang w:val="en-GB"/>
              </w:rPr>
              <w:t xml:space="preserve">be or within the past five years have been a member of the executive management or an executive employee in the company, a subsidiary or a group company, </w:t>
            </w:r>
          </w:p>
          <w:p w14:paraId="51ECFA30" w14:textId="3F843159" w:rsidR="00CB2E76" w:rsidRPr="00CB2E76" w:rsidRDefault="00CB2E76" w:rsidP="00CB2E76">
            <w:pPr>
              <w:pStyle w:val="Listeafsnit"/>
              <w:numPr>
                <w:ilvl w:val="0"/>
                <w:numId w:val="7"/>
              </w:numPr>
              <w:spacing w:before="120" w:after="120"/>
              <w:jc w:val="both"/>
              <w:rPr>
                <w:rFonts w:ascii="Gudea" w:hAnsi="Gudea"/>
                <w:color w:val="162D4C"/>
                <w:sz w:val="20"/>
                <w:lang w:val="en-GB"/>
              </w:rPr>
            </w:pPr>
            <w:r w:rsidRPr="00CB2E76">
              <w:rPr>
                <w:rFonts w:ascii="Gudea" w:hAnsi="Gudea"/>
                <w:color w:val="162D4C"/>
                <w:sz w:val="20"/>
                <w:lang w:val="en-GB"/>
              </w:rPr>
              <w:t>within the past five years have received large emoluments from the company/group, a subsidiary or a group company in another</w:t>
            </w:r>
            <w:r>
              <w:rPr>
                <w:rFonts w:ascii="Gudea" w:hAnsi="Gudea"/>
                <w:color w:val="162D4C"/>
                <w:sz w:val="20"/>
                <w:lang w:val="en-GB"/>
              </w:rPr>
              <w:t xml:space="preserve"> </w:t>
            </w:r>
            <w:r w:rsidRPr="00CB2E76">
              <w:rPr>
                <w:rFonts w:ascii="Gudea" w:hAnsi="Gudea"/>
                <w:color w:val="162D4C"/>
                <w:sz w:val="20"/>
                <w:lang w:val="en-GB"/>
              </w:rPr>
              <w:t>capacity than as member of the board of directors,</w:t>
            </w:r>
          </w:p>
          <w:p w14:paraId="0B46DDBB" w14:textId="77777777" w:rsidR="00CB2E76" w:rsidRPr="00CB2E76" w:rsidRDefault="00CB2E76" w:rsidP="00CB2E76">
            <w:pPr>
              <w:pStyle w:val="Listeafsnit"/>
              <w:numPr>
                <w:ilvl w:val="0"/>
                <w:numId w:val="7"/>
              </w:numPr>
              <w:spacing w:before="120" w:after="120"/>
              <w:jc w:val="both"/>
              <w:rPr>
                <w:rFonts w:ascii="Gudea" w:hAnsi="Gudea"/>
                <w:color w:val="162D4C"/>
                <w:sz w:val="20"/>
                <w:lang w:val="en-GB"/>
              </w:rPr>
            </w:pPr>
            <w:r w:rsidRPr="00CB2E76">
              <w:rPr>
                <w:rFonts w:ascii="Gudea" w:hAnsi="Gudea"/>
                <w:color w:val="162D4C"/>
                <w:sz w:val="20"/>
                <w:lang w:val="en-GB"/>
              </w:rPr>
              <w:t xml:space="preserve">represent or be associated with a controlling shareholder, </w:t>
            </w:r>
          </w:p>
          <w:p w14:paraId="38B4FDB1" w14:textId="26EF0B86" w:rsidR="00CB2E76" w:rsidRPr="00CB2E76" w:rsidRDefault="00CB2E76" w:rsidP="00CB2E76">
            <w:pPr>
              <w:pStyle w:val="Listeafsnit"/>
              <w:numPr>
                <w:ilvl w:val="0"/>
                <w:numId w:val="7"/>
              </w:numPr>
              <w:spacing w:before="120" w:after="120"/>
              <w:jc w:val="both"/>
              <w:rPr>
                <w:rFonts w:ascii="Gudea" w:hAnsi="Gudea"/>
                <w:color w:val="162D4C"/>
                <w:sz w:val="20"/>
                <w:lang w:val="en-GB"/>
              </w:rPr>
            </w:pPr>
            <w:r w:rsidRPr="00CB2E76">
              <w:rPr>
                <w:rFonts w:ascii="Gudea" w:hAnsi="Gudea"/>
                <w:color w:val="162D4C"/>
                <w:sz w:val="20"/>
                <w:lang w:val="en-GB"/>
              </w:rPr>
              <w:t>within the past year have had a business relationship (e.g. personally or indirectly as a partner or an employee, shareholder, customer, supplier or member of a governing body in companies with similar relations) with the company, a subsidiary or a group company, which is significant for the</w:t>
            </w:r>
            <w:r w:rsidR="00853B22">
              <w:rPr>
                <w:rFonts w:ascii="Gudea" w:hAnsi="Gudea"/>
                <w:color w:val="162D4C"/>
                <w:sz w:val="20"/>
                <w:lang w:val="en-GB"/>
              </w:rPr>
              <w:t xml:space="preserve"> </w:t>
            </w:r>
            <w:r w:rsidRPr="00CB2E76">
              <w:rPr>
                <w:rFonts w:ascii="Gudea" w:hAnsi="Gudea"/>
                <w:color w:val="162D4C"/>
                <w:sz w:val="20"/>
                <w:lang w:val="en-GB"/>
              </w:rPr>
              <w:t>company and/or the business relationship,</w:t>
            </w:r>
          </w:p>
          <w:p w14:paraId="12752FF8" w14:textId="77777777" w:rsidR="00CB2E76" w:rsidRPr="00CB2E76" w:rsidRDefault="00CB2E76" w:rsidP="00CB2E76">
            <w:pPr>
              <w:pStyle w:val="Listeafsnit"/>
              <w:numPr>
                <w:ilvl w:val="0"/>
                <w:numId w:val="7"/>
              </w:numPr>
              <w:spacing w:before="120" w:after="120"/>
              <w:jc w:val="both"/>
              <w:rPr>
                <w:rFonts w:ascii="Gudea" w:hAnsi="Gudea"/>
                <w:color w:val="162D4C"/>
                <w:sz w:val="20"/>
                <w:lang w:val="en-GB"/>
              </w:rPr>
            </w:pPr>
            <w:r w:rsidRPr="00CB2E76">
              <w:rPr>
                <w:rFonts w:ascii="Gudea" w:hAnsi="Gudea"/>
                <w:color w:val="162D4C"/>
                <w:sz w:val="20"/>
                <w:lang w:val="en-GB"/>
              </w:rPr>
              <w:lastRenderedPageBreak/>
              <w:t>be or within the past three years have been employed with or a partner in the same company as the company’s auditor elected in general meeting,</w:t>
            </w:r>
          </w:p>
          <w:p w14:paraId="34BDE734" w14:textId="77777777" w:rsidR="00CB2E76" w:rsidRPr="00CB2E76" w:rsidRDefault="00CB2E76" w:rsidP="00CB2E76">
            <w:pPr>
              <w:pStyle w:val="Listeafsnit"/>
              <w:numPr>
                <w:ilvl w:val="0"/>
                <w:numId w:val="7"/>
              </w:numPr>
              <w:spacing w:before="120" w:after="120"/>
              <w:jc w:val="both"/>
              <w:rPr>
                <w:rFonts w:ascii="Gudea" w:hAnsi="Gudea"/>
                <w:color w:val="162D4C"/>
                <w:sz w:val="20"/>
                <w:lang w:val="en-GB"/>
              </w:rPr>
            </w:pPr>
            <w:r w:rsidRPr="00CB2E76">
              <w:rPr>
                <w:rFonts w:ascii="Gudea" w:hAnsi="Gudea"/>
                <w:color w:val="162D4C"/>
                <w:sz w:val="20"/>
                <w:lang w:val="en-GB"/>
              </w:rPr>
              <w:t>be a CEO in a company with cross-memberships in the company’s management,</w:t>
            </w:r>
          </w:p>
          <w:p w14:paraId="745B92E0" w14:textId="77777777" w:rsidR="00CB2E76" w:rsidRPr="00CB2E76" w:rsidRDefault="00CB2E76" w:rsidP="00CB2E76">
            <w:pPr>
              <w:pStyle w:val="Listeafsnit"/>
              <w:numPr>
                <w:ilvl w:val="0"/>
                <w:numId w:val="7"/>
              </w:numPr>
              <w:spacing w:before="120" w:after="120"/>
              <w:jc w:val="both"/>
              <w:rPr>
                <w:rFonts w:ascii="Gudea" w:hAnsi="Gudea"/>
                <w:color w:val="162D4C"/>
                <w:sz w:val="20"/>
                <w:lang w:val="en-GB"/>
              </w:rPr>
            </w:pPr>
            <w:r w:rsidRPr="00CB2E76">
              <w:rPr>
                <w:rFonts w:ascii="Gudea" w:hAnsi="Gudea"/>
                <w:color w:val="162D4C"/>
                <w:sz w:val="20"/>
                <w:lang w:val="en-GB"/>
              </w:rPr>
              <w:t xml:space="preserve">have been a member of the board of directors for more than twelve years, or </w:t>
            </w:r>
          </w:p>
          <w:p w14:paraId="45E7D51B" w14:textId="3C29F1C6" w:rsidR="00CB2E76" w:rsidRPr="00CB2E76" w:rsidRDefault="00CB2E76" w:rsidP="00CB2E76">
            <w:pPr>
              <w:pStyle w:val="Listeafsnit"/>
              <w:numPr>
                <w:ilvl w:val="0"/>
                <w:numId w:val="7"/>
              </w:numPr>
              <w:spacing w:before="120" w:after="120"/>
              <w:jc w:val="both"/>
              <w:rPr>
                <w:rFonts w:ascii="Gudea" w:hAnsi="Gudea"/>
                <w:color w:val="162D4C"/>
                <w:sz w:val="20"/>
                <w:lang w:val="en-GB"/>
              </w:rPr>
            </w:pPr>
            <w:r w:rsidRPr="00CB2E76">
              <w:rPr>
                <w:rFonts w:ascii="Gudea" w:hAnsi="Gudea"/>
                <w:color w:val="162D4C"/>
                <w:sz w:val="20"/>
                <w:lang w:val="en-GB"/>
              </w:rPr>
              <w:t>be closely related to persons, who are not independent, cf. the above-stated criteria.</w:t>
            </w:r>
          </w:p>
          <w:p w14:paraId="255E6B00" w14:textId="302D0A87" w:rsidR="00CB2E76" w:rsidRPr="00D01827" w:rsidRDefault="00CB2E76" w:rsidP="00CB2E76">
            <w:pPr>
              <w:spacing w:before="120" w:after="120"/>
              <w:jc w:val="both"/>
              <w:rPr>
                <w:rFonts w:ascii="Gudea" w:hAnsi="Gudea"/>
                <w:color w:val="162D4C"/>
                <w:sz w:val="20"/>
                <w:lang w:val="en-GB"/>
              </w:rPr>
            </w:pPr>
            <w:r w:rsidRPr="00CB2E76">
              <w:rPr>
                <w:rFonts w:ascii="Gudea" w:hAnsi="Gudea"/>
                <w:color w:val="162D4C"/>
                <w:sz w:val="20"/>
                <w:lang w:val="en-GB"/>
              </w:rPr>
              <w:t>Even if a member of the board of directors does not fall within the above-stated criteria, the board of directors may for other reasons decide that the member in question is not independent.</w:t>
            </w:r>
          </w:p>
        </w:tc>
        <w:tc>
          <w:tcPr>
            <w:tcW w:w="2835" w:type="dxa"/>
            <w:vAlign w:val="center"/>
          </w:tcPr>
          <w:p w14:paraId="323BAFA0" w14:textId="77777777" w:rsidR="00CB2E76" w:rsidRPr="00D01827" w:rsidRDefault="00CB2E76" w:rsidP="00CB2E76">
            <w:pPr>
              <w:spacing w:before="120" w:after="120"/>
              <w:jc w:val="both"/>
              <w:rPr>
                <w:rFonts w:ascii="Gudea" w:hAnsi="Gudea"/>
                <w:sz w:val="20"/>
                <w:lang w:val="en-GB"/>
              </w:rPr>
            </w:pPr>
          </w:p>
        </w:tc>
        <w:tc>
          <w:tcPr>
            <w:tcW w:w="2835" w:type="dxa"/>
            <w:tcBorders>
              <w:right w:val="single" w:sz="4" w:space="0" w:color="auto"/>
            </w:tcBorders>
            <w:vAlign w:val="center"/>
          </w:tcPr>
          <w:p w14:paraId="36CD51AF" w14:textId="77777777" w:rsidR="00CB2E76" w:rsidRPr="00D01827" w:rsidRDefault="00CB2E76" w:rsidP="00CB2E76">
            <w:pPr>
              <w:spacing w:before="120" w:after="120"/>
              <w:jc w:val="both"/>
              <w:rPr>
                <w:rFonts w:ascii="Gudea" w:hAnsi="Gudea"/>
                <w:sz w:val="20"/>
                <w:lang w:val="en-GB"/>
              </w:rPr>
            </w:pPr>
          </w:p>
        </w:tc>
        <w:tc>
          <w:tcPr>
            <w:tcW w:w="2835" w:type="dxa"/>
            <w:tcBorders>
              <w:left w:val="single" w:sz="4" w:space="0" w:color="auto"/>
            </w:tcBorders>
            <w:vAlign w:val="center"/>
          </w:tcPr>
          <w:p w14:paraId="7DC38821" w14:textId="77777777" w:rsidR="00CB2E76" w:rsidRPr="00D01827" w:rsidRDefault="00CB2E76" w:rsidP="00CB2E76">
            <w:pPr>
              <w:spacing w:before="120" w:after="120"/>
              <w:jc w:val="both"/>
              <w:rPr>
                <w:rFonts w:ascii="Gudea" w:hAnsi="Gudea"/>
                <w:sz w:val="20"/>
                <w:lang w:val="en-GB"/>
              </w:rPr>
            </w:pPr>
          </w:p>
        </w:tc>
      </w:tr>
      <w:tr w:rsidR="00CB2E76" w:rsidRPr="00F0467F" w14:paraId="055ADB2F" w14:textId="77777777" w:rsidTr="007421E6">
        <w:trPr>
          <w:trHeight w:val="20"/>
        </w:trPr>
        <w:tc>
          <w:tcPr>
            <w:tcW w:w="6091" w:type="dxa"/>
            <w:vAlign w:val="center"/>
          </w:tcPr>
          <w:p w14:paraId="7FFF1943" w14:textId="7E920D5D" w:rsidR="00CB2E76" w:rsidRPr="00D01827" w:rsidRDefault="00853B22" w:rsidP="00CB2E76">
            <w:pPr>
              <w:spacing w:before="120" w:after="120"/>
              <w:jc w:val="both"/>
              <w:rPr>
                <w:rFonts w:ascii="Gudea" w:hAnsi="Gudea"/>
                <w:b/>
                <w:bCs/>
                <w:color w:val="162D4C"/>
                <w:sz w:val="20"/>
                <w:lang w:val="en-GB"/>
              </w:rPr>
            </w:pPr>
            <w:r w:rsidRPr="00853B22">
              <w:rPr>
                <w:rFonts w:ascii="Gudea" w:hAnsi="Gudea"/>
                <w:b/>
                <w:bCs/>
                <w:color w:val="162D4C"/>
                <w:sz w:val="20"/>
                <w:lang w:val="en-GB"/>
              </w:rPr>
              <w:t xml:space="preserve">3.2.2. The Committee recommends </w:t>
            </w:r>
            <w:r w:rsidRPr="00853B22">
              <w:rPr>
                <w:rFonts w:ascii="Gudea" w:hAnsi="Gudea"/>
                <w:color w:val="162D4C"/>
                <w:sz w:val="20"/>
                <w:lang w:val="en-GB"/>
              </w:rPr>
              <w:t>that members of the executive management are not members of the board of directors and that members retiring from the executive management does not join the board of directors immediately thereafter.</w:t>
            </w:r>
          </w:p>
        </w:tc>
        <w:tc>
          <w:tcPr>
            <w:tcW w:w="2835" w:type="dxa"/>
            <w:vAlign w:val="center"/>
          </w:tcPr>
          <w:p w14:paraId="78790A2F" w14:textId="77777777" w:rsidR="00CB2E76" w:rsidRPr="00D01827" w:rsidRDefault="00CB2E76" w:rsidP="00CB2E76">
            <w:pPr>
              <w:spacing w:before="120" w:after="120"/>
              <w:jc w:val="both"/>
              <w:rPr>
                <w:rFonts w:ascii="Gudea" w:hAnsi="Gudea"/>
                <w:sz w:val="20"/>
                <w:lang w:val="en-GB"/>
              </w:rPr>
            </w:pPr>
          </w:p>
        </w:tc>
        <w:tc>
          <w:tcPr>
            <w:tcW w:w="2835" w:type="dxa"/>
            <w:tcBorders>
              <w:right w:val="single" w:sz="4" w:space="0" w:color="auto"/>
            </w:tcBorders>
            <w:vAlign w:val="center"/>
          </w:tcPr>
          <w:p w14:paraId="5688AE2D" w14:textId="77777777" w:rsidR="00CB2E76" w:rsidRPr="00D01827" w:rsidRDefault="00CB2E76" w:rsidP="00CB2E76">
            <w:pPr>
              <w:spacing w:before="120" w:after="120"/>
              <w:jc w:val="both"/>
              <w:rPr>
                <w:rFonts w:ascii="Gudea" w:hAnsi="Gudea"/>
                <w:sz w:val="20"/>
                <w:lang w:val="en-GB"/>
              </w:rPr>
            </w:pPr>
          </w:p>
        </w:tc>
        <w:tc>
          <w:tcPr>
            <w:tcW w:w="2835" w:type="dxa"/>
            <w:tcBorders>
              <w:left w:val="single" w:sz="4" w:space="0" w:color="auto"/>
            </w:tcBorders>
            <w:vAlign w:val="center"/>
          </w:tcPr>
          <w:p w14:paraId="548ECCFD" w14:textId="77777777" w:rsidR="00CB2E76" w:rsidRPr="00D01827" w:rsidRDefault="00CB2E76" w:rsidP="00CB2E76">
            <w:pPr>
              <w:spacing w:before="120" w:after="120"/>
              <w:jc w:val="both"/>
              <w:rPr>
                <w:rFonts w:ascii="Gudea" w:hAnsi="Gudea"/>
                <w:sz w:val="20"/>
                <w:lang w:val="en-GB"/>
              </w:rPr>
            </w:pPr>
          </w:p>
        </w:tc>
      </w:tr>
      <w:tr w:rsidR="00CB2E76" w:rsidRPr="00F0467F" w14:paraId="403047EE" w14:textId="77777777" w:rsidTr="00DE6017">
        <w:trPr>
          <w:trHeight w:val="410"/>
        </w:trPr>
        <w:tc>
          <w:tcPr>
            <w:tcW w:w="14596" w:type="dxa"/>
            <w:gridSpan w:val="4"/>
            <w:tcBorders>
              <w:top w:val="nil"/>
              <w:bottom w:val="nil"/>
              <w:right w:val="nil"/>
            </w:tcBorders>
            <w:shd w:val="clear" w:color="auto" w:fill="162D4C"/>
            <w:vAlign w:val="center"/>
          </w:tcPr>
          <w:p w14:paraId="37B5454C" w14:textId="1640FE54" w:rsidR="00CB2E76" w:rsidRPr="00D01827" w:rsidRDefault="00CB2E76" w:rsidP="00CB2E76">
            <w:pPr>
              <w:spacing w:before="120" w:after="120"/>
              <w:jc w:val="both"/>
              <w:rPr>
                <w:rFonts w:ascii="Gudea" w:hAnsi="Gudea"/>
                <w:b/>
                <w:color w:val="FFFFFF" w:themeColor="background1"/>
                <w:sz w:val="22"/>
                <w:lang w:val="en-GB"/>
              </w:rPr>
            </w:pPr>
            <w:bookmarkStart w:id="10" w:name="_Hlk33537834"/>
            <w:bookmarkEnd w:id="9"/>
            <w:r w:rsidRPr="00D01827">
              <w:rPr>
                <w:rFonts w:ascii="Gudea" w:hAnsi="Gudea"/>
                <w:b/>
                <w:color w:val="FFFFFF" w:themeColor="background1"/>
                <w:sz w:val="22"/>
                <w:lang w:val="en-GB"/>
              </w:rPr>
              <w:t xml:space="preserve">3.3. </w:t>
            </w:r>
            <w:bookmarkStart w:id="11" w:name="_Toc55995712"/>
            <w:r w:rsidRPr="00D01827">
              <w:rPr>
                <w:rFonts w:ascii="Gudea" w:hAnsi="Gudea"/>
                <w:b/>
                <w:color w:val="FFFFFF" w:themeColor="background1"/>
                <w:sz w:val="22"/>
                <w:lang w:val="en-GB"/>
              </w:rPr>
              <w:t>Members of the board of directors and the number of other managerial duties</w:t>
            </w:r>
            <w:bookmarkEnd w:id="11"/>
          </w:p>
        </w:tc>
      </w:tr>
      <w:bookmarkEnd w:id="10"/>
      <w:tr w:rsidR="00CB2E76" w:rsidRPr="00F0467F" w14:paraId="4472A5D2" w14:textId="77777777" w:rsidTr="007421E6">
        <w:trPr>
          <w:trHeight w:val="20"/>
        </w:trPr>
        <w:tc>
          <w:tcPr>
            <w:tcW w:w="6091" w:type="dxa"/>
            <w:vAlign w:val="center"/>
          </w:tcPr>
          <w:p w14:paraId="5744DF28" w14:textId="6FB86EA9" w:rsidR="00CB2E76" w:rsidRPr="00D01827" w:rsidRDefault="00853B22" w:rsidP="00CB2E76">
            <w:pPr>
              <w:spacing w:before="120" w:after="120"/>
              <w:jc w:val="both"/>
              <w:rPr>
                <w:rFonts w:ascii="Gudea" w:hAnsi="Gudea"/>
                <w:color w:val="162D4C"/>
                <w:sz w:val="20"/>
                <w:lang w:val="en-GB"/>
              </w:rPr>
            </w:pPr>
            <w:r w:rsidRPr="00853B22">
              <w:rPr>
                <w:rFonts w:ascii="Gudea" w:hAnsi="Gudea"/>
                <w:b/>
                <w:bCs/>
                <w:color w:val="162D4C"/>
                <w:sz w:val="20"/>
                <w:lang w:val="en-GB"/>
              </w:rPr>
              <w:t>3.3.1. The Committee recommends</w:t>
            </w:r>
            <w:r w:rsidRPr="00853B22">
              <w:rPr>
                <w:rFonts w:ascii="Gudea" w:hAnsi="Gudea"/>
                <w:color w:val="162D4C"/>
                <w:sz w:val="20"/>
                <w:lang w:val="en-GB"/>
              </w:rPr>
              <w:t xml:space="preserve"> that the board of directors and each of the members on the board of directors, in connection with the annual evaluation, cf. recommendation 3.5.1., assesses how much time is required to perform the board duties. The aim is for the individual member of the board of directors not to take on more managerial duties than the board member in question is able to perform in a satisfactory manner.</w:t>
            </w:r>
          </w:p>
        </w:tc>
        <w:tc>
          <w:tcPr>
            <w:tcW w:w="2835" w:type="dxa"/>
            <w:vAlign w:val="center"/>
          </w:tcPr>
          <w:p w14:paraId="0831D2FB" w14:textId="77777777" w:rsidR="00CB2E76" w:rsidRPr="00D01827" w:rsidRDefault="00CB2E76" w:rsidP="00CB2E76">
            <w:pPr>
              <w:spacing w:before="120" w:after="120"/>
              <w:jc w:val="both"/>
              <w:rPr>
                <w:rFonts w:ascii="Gudea" w:hAnsi="Gudea"/>
                <w:sz w:val="20"/>
                <w:lang w:val="en-GB"/>
              </w:rPr>
            </w:pPr>
          </w:p>
        </w:tc>
        <w:tc>
          <w:tcPr>
            <w:tcW w:w="2835" w:type="dxa"/>
            <w:tcBorders>
              <w:right w:val="single" w:sz="4" w:space="0" w:color="auto"/>
            </w:tcBorders>
            <w:vAlign w:val="center"/>
          </w:tcPr>
          <w:p w14:paraId="7A77ABAA" w14:textId="77777777" w:rsidR="00CB2E76" w:rsidRPr="00D01827" w:rsidRDefault="00CB2E76" w:rsidP="00CB2E76">
            <w:pPr>
              <w:spacing w:before="120" w:after="120"/>
              <w:jc w:val="both"/>
              <w:rPr>
                <w:rFonts w:ascii="Gudea" w:hAnsi="Gudea"/>
                <w:sz w:val="20"/>
                <w:lang w:val="en-GB"/>
              </w:rPr>
            </w:pPr>
          </w:p>
        </w:tc>
        <w:tc>
          <w:tcPr>
            <w:tcW w:w="2835" w:type="dxa"/>
            <w:tcBorders>
              <w:left w:val="single" w:sz="4" w:space="0" w:color="auto"/>
            </w:tcBorders>
            <w:vAlign w:val="center"/>
          </w:tcPr>
          <w:p w14:paraId="5C0199B5" w14:textId="77777777" w:rsidR="00CB2E76" w:rsidRPr="00D01827" w:rsidRDefault="00CB2E76" w:rsidP="00CB2E76">
            <w:pPr>
              <w:spacing w:before="120" w:after="120"/>
              <w:jc w:val="both"/>
              <w:rPr>
                <w:rFonts w:ascii="Gudea" w:hAnsi="Gudea"/>
                <w:sz w:val="20"/>
                <w:lang w:val="en-GB"/>
              </w:rPr>
            </w:pPr>
          </w:p>
        </w:tc>
      </w:tr>
      <w:tr w:rsidR="00CB2E76" w:rsidRPr="00F0467F" w14:paraId="723F2B6D" w14:textId="77777777" w:rsidTr="007421E6">
        <w:trPr>
          <w:trHeight w:val="20"/>
        </w:trPr>
        <w:tc>
          <w:tcPr>
            <w:tcW w:w="6091" w:type="dxa"/>
            <w:vAlign w:val="center"/>
          </w:tcPr>
          <w:p w14:paraId="268EFC75" w14:textId="77777777" w:rsidR="00853B22" w:rsidRPr="00853B22" w:rsidRDefault="00853B22" w:rsidP="00853B22">
            <w:pPr>
              <w:spacing w:before="120" w:after="120"/>
              <w:jc w:val="both"/>
              <w:rPr>
                <w:rFonts w:ascii="Gudea" w:hAnsi="Gudea"/>
                <w:color w:val="162D4C"/>
                <w:sz w:val="20"/>
                <w:lang w:val="en-GB"/>
              </w:rPr>
            </w:pPr>
            <w:r w:rsidRPr="00853B22">
              <w:rPr>
                <w:rFonts w:ascii="Gudea" w:hAnsi="Gudea"/>
                <w:b/>
                <w:bCs/>
                <w:color w:val="162D4C"/>
                <w:sz w:val="20"/>
                <w:lang w:val="en-GB"/>
              </w:rPr>
              <w:lastRenderedPageBreak/>
              <w:t xml:space="preserve">3.3.2. The Committee recommends </w:t>
            </w:r>
            <w:r w:rsidRPr="00853B22">
              <w:rPr>
                <w:rFonts w:ascii="Gudea" w:hAnsi="Gudea"/>
                <w:color w:val="162D4C"/>
                <w:sz w:val="20"/>
                <w:lang w:val="en-GB"/>
              </w:rPr>
              <w:t>that the management commentary, in addition to the statutory requirements, contains the following information on the individual members of the board of directors:</w:t>
            </w:r>
          </w:p>
          <w:p w14:paraId="5677CBCD" w14:textId="77777777" w:rsidR="00853B22" w:rsidRPr="00853B22" w:rsidRDefault="00853B22" w:rsidP="00853B22">
            <w:pPr>
              <w:pStyle w:val="Listeafsnit"/>
              <w:numPr>
                <w:ilvl w:val="0"/>
                <w:numId w:val="7"/>
              </w:numPr>
              <w:spacing w:before="120" w:after="120"/>
              <w:jc w:val="both"/>
              <w:rPr>
                <w:rFonts w:ascii="Gudea" w:hAnsi="Gudea"/>
                <w:color w:val="162D4C"/>
                <w:sz w:val="20"/>
                <w:lang w:val="en-GB"/>
              </w:rPr>
            </w:pPr>
            <w:r w:rsidRPr="00853B22">
              <w:rPr>
                <w:rFonts w:ascii="Gudea" w:hAnsi="Gudea"/>
                <w:color w:val="162D4C"/>
                <w:sz w:val="20"/>
                <w:lang w:val="en-GB"/>
              </w:rPr>
              <w:t xml:space="preserve">position, age and gender, </w:t>
            </w:r>
          </w:p>
          <w:p w14:paraId="4CD25342" w14:textId="77777777" w:rsidR="00853B22" w:rsidRPr="00853B22" w:rsidRDefault="00853B22" w:rsidP="00853B22">
            <w:pPr>
              <w:pStyle w:val="Listeafsnit"/>
              <w:numPr>
                <w:ilvl w:val="0"/>
                <w:numId w:val="7"/>
              </w:numPr>
              <w:spacing w:before="120" w:after="120"/>
              <w:jc w:val="both"/>
              <w:rPr>
                <w:rFonts w:ascii="Gudea" w:hAnsi="Gudea"/>
                <w:color w:val="162D4C"/>
                <w:sz w:val="20"/>
                <w:lang w:val="en-GB"/>
              </w:rPr>
            </w:pPr>
            <w:r w:rsidRPr="00853B22">
              <w:rPr>
                <w:rFonts w:ascii="Gudea" w:hAnsi="Gudea"/>
                <w:color w:val="162D4C"/>
                <w:sz w:val="20"/>
                <w:lang w:val="en-GB"/>
              </w:rPr>
              <w:t xml:space="preserve">competencies and qualifications relevant to the company, </w:t>
            </w:r>
          </w:p>
          <w:p w14:paraId="3BD0F85F" w14:textId="77777777" w:rsidR="00853B22" w:rsidRPr="00853B22" w:rsidRDefault="00853B22" w:rsidP="00853B22">
            <w:pPr>
              <w:pStyle w:val="Listeafsnit"/>
              <w:numPr>
                <w:ilvl w:val="0"/>
                <w:numId w:val="7"/>
              </w:numPr>
              <w:spacing w:before="120" w:after="120"/>
              <w:jc w:val="both"/>
              <w:rPr>
                <w:rFonts w:ascii="Gudea" w:hAnsi="Gudea"/>
                <w:color w:val="162D4C"/>
                <w:sz w:val="20"/>
                <w:lang w:val="en-GB"/>
              </w:rPr>
            </w:pPr>
            <w:r w:rsidRPr="00853B22">
              <w:rPr>
                <w:rFonts w:ascii="Gudea" w:hAnsi="Gudea"/>
                <w:color w:val="162D4C"/>
                <w:sz w:val="20"/>
                <w:lang w:val="en-GB"/>
              </w:rPr>
              <w:t>independence,</w:t>
            </w:r>
          </w:p>
          <w:p w14:paraId="5AD535D8" w14:textId="77777777" w:rsidR="00853B22" w:rsidRPr="00853B22" w:rsidRDefault="00853B22" w:rsidP="00853B22">
            <w:pPr>
              <w:pStyle w:val="Listeafsnit"/>
              <w:numPr>
                <w:ilvl w:val="0"/>
                <w:numId w:val="7"/>
              </w:numPr>
              <w:spacing w:before="120" w:after="120"/>
              <w:jc w:val="both"/>
              <w:rPr>
                <w:rFonts w:ascii="Gudea" w:hAnsi="Gudea"/>
                <w:color w:val="162D4C"/>
                <w:sz w:val="20"/>
                <w:lang w:val="en-GB"/>
              </w:rPr>
            </w:pPr>
            <w:r w:rsidRPr="00853B22">
              <w:rPr>
                <w:rFonts w:ascii="Gudea" w:hAnsi="Gudea"/>
                <w:color w:val="162D4C"/>
                <w:sz w:val="20"/>
                <w:lang w:val="en-GB"/>
              </w:rPr>
              <w:t xml:space="preserve">year of joining the board of directors, </w:t>
            </w:r>
          </w:p>
          <w:p w14:paraId="407F776F" w14:textId="77777777" w:rsidR="00853B22" w:rsidRPr="00853B22" w:rsidRDefault="00853B22" w:rsidP="00853B22">
            <w:pPr>
              <w:pStyle w:val="Listeafsnit"/>
              <w:numPr>
                <w:ilvl w:val="0"/>
                <w:numId w:val="7"/>
              </w:numPr>
              <w:spacing w:before="120" w:after="120"/>
              <w:jc w:val="both"/>
              <w:rPr>
                <w:rFonts w:ascii="Gudea" w:hAnsi="Gudea"/>
                <w:color w:val="162D4C"/>
                <w:sz w:val="20"/>
                <w:lang w:val="en-GB"/>
              </w:rPr>
            </w:pPr>
            <w:r w:rsidRPr="00853B22">
              <w:rPr>
                <w:rFonts w:ascii="Gudea" w:hAnsi="Gudea"/>
                <w:color w:val="162D4C"/>
                <w:sz w:val="20"/>
                <w:lang w:val="en-GB"/>
              </w:rPr>
              <w:t xml:space="preserve">year of expiry of the current election period, </w:t>
            </w:r>
          </w:p>
          <w:p w14:paraId="7515C09A" w14:textId="77777777" w:rsidR="00853B22" w:rsidRPr="00853B22" w:rsidRDefault="00853B22" w:rsidP="00853B22">
            <w:pPr>
              <w:pStyle w:val="Listeafsnit"/>
              <w:numPr>
                <w:ilvl w:val="0"/>
                <w:numId w:val="7"/>
              </w:numPr>
              <w:spacing w:before="120" w:after="120"/>
              <w:jc w:val="both"/>
              <w:rPr>
                <w:rFonts w:ascii="Gudea" w:hAnsi="Gudea"/>
                <w:color w:val="162D4C"/>
                <w:sz w:val="20"/>
                <w:lang w:val="en-GB"/>
              </w:rPr>
            </w:pPr>
            <w:r w:rsidRPr="00853B22">
              <w:rPr>
                <w:rFonts w:ascii="Gudea" w:hAnsi="Gudea"/>
                <w:color w:val="162D4C"/>
                <w:sz w:val="20"/>
                <w:lang w:val="en-GB"/>
              </w:rPr>
              <w:t xml:space="preserve">participation in meetings of the board of directors and committee meetings, </w:t>
            </w:r>
          </w:p>
          <w:p w14:paraId="5E8AC7A2" w14:textId="77777777" w:rsidR="00853B22" w:rsidRPr="00853B22" w:rsidRDefault="00853B22" w:rsidP="00853B22">
            <w:pPr>
              <w:pStyle w:val="Listeafsnit"/>
              <w:numPr>
                <w:ilvl w:val="0"/>
                <w:numId w:val="7"/>
              </w:numPr>
              <w:spacing w:before="120" w:after="120"/>
              <w:jc w:val="both"/>
              <w:rPr>
                <w:rFonts w:ascii="Gudea" w:hAnsi="Gudea"/>
                <w:color w:val="162D4C"/>
                <w:sz w:val="20"/>
                <w:lang w:val="en-GB"/>
              </w:rPr>
            </w:pPr>
            <w:r w:rsidRPr="00853B22">
              <w:rPr>
                <w:rFonts w:ascii="Gudea" w:hAnsi="Gudea"/>
                <w:color w:val="162D4C"/>
                <w:sz w:val="20"/>
                <w:lang w:val="en-GB"/>
              </w:rPr>
              <w:t xml:space="preserve">managerial duties in other commercial undertakings, including board committees, and demanding organisational assignments, and </w:t>
            </w:r>
          </w:p>
          <w:p w14:paraId="2EDC00A5" w14:textId="0D197D14" w:rsidR="00CB2E76" w:rsidRPr="00D01827" w:rsidRDefault="00853B22" w:rsidP="00853B22">
            <w:pPr>
              <w:pStyle w:val="Listeafsnit"/>
              <w:numPr>
                <w:ilvl w:val="0"/>
                <w:numId w:val="7"/>
              </w:numPr>
              <w:spacing w:before="120" w:after="120"/>
              <w:jc w:val="both"/>
              <w:rPr>
                <w:rFonts w:ascii="Gudea" w:hAnsi="Gudea"/>
                <w:b/>
                <w:bCs/>
                <w:color w:val="162D4C"/>
                <w:sz w:val="20"/>
                <w:lang w:val="en-GB"/>
              </w:rPr>
            </w:pPr>
            <w:r w:rsidRPr="00853B22">
              <w:rPr>
                <w:rFonts w:ascii="Gudea" w:hAnsi="Gudea"/>
                <w:color w:val="162D4C"/>
                <w:sz w:val="20"/>
                <w:lang w:val="en-GB"/>
              </w:rPr>
              <w:t>the number of shares, options, warrants, etc. that the member holds in the company and its group companies and any changes in such holdings during the financial year.</w:t>
            </w:r>
          </w:p>
        </w:tc>
        <w:tc>
          <w:tcPr>
            <w:tcW w:w="2835" w:type="dxa"/>
            <w:vAlign w:val="center"/>
          </w:tcPr>
          <w:p w14:paraId="491186D1" w14:textId="77777777" w:rsidR="00CB2E76" w:rsidRPr="00D01827" w:rsidRDefault="00CB2E76" w:rsidP="00CB2E76">
            <w:pPr>
              <w:spacing w:before="120" w:after="120"/>
              <w:jc w:val="both"/>
              <w:rPr>
                <w:rFonts w:ascii="Gudea" w:hAnsi="Gudea"/>
                <w:sz w:val="20"/>
                <w:lang w:val="en-GB"/>
              </w:rPr>
            </w:pPr>
          </w:p>
        </w:tc>
        <w:tc>
          <w:tcPr>
            <w:tcW w:w="2835" w:type="dxa"/>
            <w:tcBorders>
              <w:right w:val="single" w:sz="4" w:space="0" w:color="auto"/>
            </w:tcBorders>
            <w:vAlign w:val="center"/>
          </w:tcPr>
          <w:p w14:paraId="406DE7B4" w14:textId="77777777" w:rsidR="00CB2E76" w:rsidRPr="00D01827" w:rsidRDefault="00CB2E76" w:rsidP="00CB2E76">
            <w:pPr>
              <w:spacing w:before="120" w:after="120"/>
              <w:jc w:val="both"/>
              <w:rPr>
                <w:rFonts w:ascii="Gudea" w:hAnsi="Gudea"/>
                <w:sz w:val="20"/>
                <w:lang w:val="en-GB"/>
              </w:rPr>
            </w:pPr>
          </w:p>
        </w:tc>
        <w:tc>
          <w:tcPr>
            <w:tcW w:w="2835" w:type="dxa"/>
            <w:tcBorders>
              <w:left w:val="single" w:sz="4" w:space="0" w:color="auto"/>
            </w:tcBorders>
            <w:vAlign w:val="center"/>
          </w:tcPr>
          <w:p w14:paraId="535EADD2" w14:textId="77777777" w:rsidR="00CB2E76" w:rsidRPr="00D01827" w:rsidRDefault="00CB2E76" w:rsidP="00CB2E76">
            <w:pPr>
              <w:spacing w:before="120" w:after="120"/>
              <w:jc w:val="both"/>
              <w:rPr>
                <w:rFonts w:ascii="Gudea" w:hAnsi="Gudea"/>
                <w:sz w:val="20"/>
                <w:lang w:val="en-GB"/>
              </w:rPr>
            </w:pPr>
          </w:p>
        </w:tc>
      </w:tr>
      <w:tr w:rsidR="00CB2E76" w:rsidRPr="009618E9" w14:paraId="78B7583E" w14:textId="77777777" w:rsidTr="003C7816">
        <w:trPr>
          <w:trHeight w:val="410"/>
        </w:trPr>
        <w:tc>
          <w:tcPr>
            <w:tcW w:w="14596" w:type="dxa"/>
            <w:gridSpan w:val="4"/>
            <w:tcBorders>
              <w:top w:val="nil"/>
              <w:bottom w:val="nil"/>
              <w:right w:val="nil"/>
            </w:tcBorders>
            <w:shd w:val="clear" w:color="auto" w:fill="162D4C"/>
            <w:vAlign w:val="center"/>
          </w:tcPr>
          <w:p w14:paraId="005C8718" w14:textId="70C73B4B" w:rsidR="00CB2E76" w:rsidRPr="00D01827" w:rsidRDefault="00CB2E76" w:rsidP="00CB2E76">
            <w:pPr>
              <w:spacing w:before="120" w:after="120"/>
              <w:jc w:val="both"/>
              <w:rPr>
                <w:rFonts w:ascii="Gudea" w:hAnsi="Gudea"/>
                <w:b/>
                <w:color w:val="FFFFFF" w:themeColor="background1"/>
                <w:sz w:val="22"/>
                <w:lang w:val="en-GB"/>
              </w:rPr>
            </w:pPr>
            <w:bookmarkStart w:id="12" w:name="_Hlk33538658"/>
            <w:r w:rsidRPr="00D01827">
              <w:rPr>
                <w:rFonts w:ascii="Gudea" w:hAnsi="Gudea"/>
                <w:b/>
                <w:color w:val="FFFFFF" w:themeColor="background1"/>
                <w:sz w:val="22"/>
                <w:lang w:val="en-GB"/>
              </w:rPr>
              <w:t xml:space="preserve">3.4. </w:t>
            </w:r>
            <w:bookmarkStart w:id="13" w:name="_Toc55995713"/>
            <w:r w:rsidRPr="00D01827">
              <w:rPr>
                <w:rFonts w:ascii="Gudea" w:hAnsi="Gudea"/>
                <w:b/>
                <w:color w:val="FFFFFF" w:themeColor="background1"/>
                <w:sz w:val="22"/>
                <w:lang w:val="en-GB"/>
              </w:rPr>
              <w:t>Board committees</w:t>
            </w:r>
            <w:bookmarkEnd w:id="13"/>
          </w:p>
        </w:tc>
      </w:tr>
      <w:bookmarkEnd w:id="12"/>
      <w:tr w:rsidR="00CB2E76" w:rsidRPr="00F0467F" w14:paraId="6F77EF52" w14:textId="77777777" w:rsidTr="007421E6">
        <w:trPr>
          <w:trHeight w:val="20"/>
        </w:trPr>
        <w:tc>
          <w:tcPr>
            <w:tcW w:w="6091" w:type="dxa"/>
            <w:vAlign w:val="center"/>
          </w:tcPr>
          <w:p w14:paraId="70652432" w14:textId="77777777" w:rsidR="00853B22" w:rsidRPr="00853B22" w:rsidRDefault="00853B22" w:rsidP="00853B22">
            <w:pPr>
              <w:spacing w:before="120" w:after="120"/>
              <w:jc w:val="both"/>
              <w:rPr>
                <w:rFonts w:ascii="Gudea" w:hAnsi="Gudea"/>
                <w:b/>
                <w:bCs/>
                <w:color w:val="162D4C"/>
                <w:sz w:val="20"/>
                <w:lang w:val="en-GB"/>
              </w:rPr>
            </w:pPr>
            <w:r w:rsidRPr="00853B22">
              <w:rPr>
                <w:rFonts w:ascii="Gudea" w:hAnsi="Gudea"/>
                <w:b/>
                <w:bCs/>
                <w:color w:val="162D4C"/>
                <w:sz w:val="20"/>
                <w:lang w:val="en-GB"/>
              </w:rPr>
              <w:t xml:space="preserve">3.4.1. The Committee recommends </w:t>
            </w:r>
            <w:r w:rsidRPr="00853B22">
              <w:rPr>
                <w:rFonts w:ascii="Gudea" w:hAnsi="Gudea"/>
                <w:color w:val="162D4C"/>
                <w:sz w:val="20"/>
                <w:lang w:val="en-GB"/>
              </w:rPr>
              <w:t>that the management describes in the management commentary:</w:t>
            </w:r>
          </w:p>
          <w:p w14:paraId="732A94B0" w14:textId="77777777" w:rsidR="00853B22" w:rsidRPr="00853B22" w:rsidRDefault="00853B22" w:rsidP="00853B22">
            <w:pPr>
              <w:pStyle w:val="Listeafsnit"/>
              <w:numPr>
                <w:ilvl w:val="0"/>
                <w:numId w:val="7"/>
              </w:numPr>
              <w:spacing w:before="120" w:after="120"/>
              <w:jc w:val="both"/>
              <w:rPr>
                <w:rFonts w:ascii="Gudea" w:hAnsi="Gudea"/>
                <w:color w:val="162D4C"/>
                <w:sz w:val="20"/>
                <w:lang w:val="en-GB"/>
              </w:rPr>
            </w:pPr>
            <w:r w:rsidRPr="00853B22">
              <w:rPr>
                <w:rFonts w:ascii="Gudea" w:hAnsi="Gudea"/>
                <w:color w:val="162D4C"/>
                <w:sz w:val="20"/>
                <w:lang w:val="en-GB"/>
              </w:rPr>
              <w:t xml:space="preserve">the board committees’ most significant activities and number of meetings in the past year, and </w:t>
            </w:r>
          </w:p>
          <w:p w14:paraId="43970DF6" w14:textId="77777777" w:rsidR="00853B22" w:rsidRPr="00853B22" w:rsidRDefault="00853B22" w:rsidP="00853B22">
            <w:pPr>
              <w:pStyle w:val="Listeafsnit"/>
              <w:numPr>
                <w:ilvl w:val="0"/>
                <w:numId w:val="7"/>
              </w:numPr>
              <w:spacing w:before="120" w:after="120"/>
              <w:jc w:val="both"/>
              <w:rPr>
                <w:rFonts w:ascii="Gudea" w:hAnsi="Gudea"/>
                <w:color w:val="162D4C"/>
                <w:sz w:val="20"/>
                <w:lang w:val="en-GB"/>
              </w:rPr>
            </w:pPr>
            <w:r w:rsidRPr="00853B22">
              <w:rPr>
                <w:rFonts w:ascii="Gudea" w:hAnsi="Gudea"/>
                <w:color w:val="162D4C"/>
                <w:sz w:val="20"/>
                <w:lang w:val="en-GB"/>
              </w:rPr>
              <w:t>the members on the individual board committees, including the chairperson and the independence of the members of the committee in question.</w:t>
            </w:r>
          </w:p>
          <w:p w14:paraId="27CF5418" w14:textId="14FF711C" w:rsidR="00CB2E76" w:rsidRPr="00853B22" w:rsidRDefault="00853B22" w:rsidP="00853B22">
            <w:pPr>
              <w:spacing w:before="120" w:after="120"/>
              <w:jc w:val="both"/>
              <w:rPr>
                <w:rFonts w:ascii="Gudea" w:hAnsi="Gudea"/>
                <w:color w:val="162D4C"/>
                <w:sz w:val="20"/>
                <w:lang w:val="en-GB"/>
              </w:rPr>
            </w:pPr>
            <w:r w:rsidRPr="00853B22">
              <w:rPr>
                <w:rFonts w:ascii="Gudea" w:hAnsi="Gudea"/>
                <w:color w:val="162D4C"/>
                <w:sz w:val="20"/>
                <w:lang w:val="en-GB"/>
              </w:rPr>
              <w:t>In addition, it is recommended that the board committees’ terms of reference are published on the company’s website.</w:t>
            </w:r>
          </w:p>
        </w:tc>
        <w:tc>
          <w:tcPr>
            <w:tcW w:w="2835" w:type="dxa"/>
            <w:vAlign w:val="center"/>
          </w:tcPr>
          <w:p w14:paraId="57D9F4AF" w14:textId="77777777" w:rsidR="00CB2E76" w:rsidRPr="00D01827" w:rsidRDefault="00CB2E76" w:rsidP="00CB2E76">
            <w:pPr>
              <w:jc w:val="both"/>
              <w:rPr>
                <w:rFonts w:ascii="Gudea" w:hAnsi="Gudea"/>
                <w:sz w:val="20"/>
                <w:lang w:val="en-GB"/>
              </w:rPr>
            </w:pPr>
          </w:p>
        </w:tc>
        <w:tc>
          <w:tcPr>
            <w:tcW w:w="2835" w:type="dxa"/>
            <w:tcBorders>
              <w:right w:val="single" w:sz="4" w:space="0" w:color="auto"/>
            </w:tcBorders>
            <w:vAlign w:val="center"/>
          </w:tcPr>
          <w:p w14:paraId="5F8CC0DA" w14:textId="77777777" w:rsidR="00CB2E76" w:rsidRPr="00D01827" w:rsidRDefault="00CB2E76" w:rsidP="00CB2E76">
            <w:pPr>
              <w:jc w:val="both"/>
              <w:rPr>
                <w:rFonts w:ascii="Gudea" w:hAnsi="Gudea"/>
                <w:sz w:val="20"/>
                <w:lang w:val="en-GB"/>
              </w:rPr>
            </w:pPr>
          </w:p>
        </w:tc>
        <w:tc>
          <w:tcPr>
            <w:tcW w:w="2835" w:type="dxa"/>
            <w:tcBorders>
              <w:left w:val="single" w:sz="4" w:space="0" w:color="auto"/>
            </w:tcBorders>
            <w:vAlign w:val="center"/>
          </w:tcPr>
          <w:p w14:paraId="35CF5EE3" w14:textId="77777777" w:rsidR="00CB2E76" w:rsidRPr="00D01827" w:rsidRDefault="00CB2E76" w:rsidP="00CB2E76">
            <w:pPr>
              <w:jc w:val="both"/>
              <w:rPr>
                <w:rFonts w:ascii="Gudea" w:hAnsi="Gudea"/>
                <w:sz w:val="20"/>
                <w:lang w:val="en-GB"/>
              </w:rPr>
            </w:pPr>
          </w:p>
        </w:tc>
      </w:tr>
      <w:tr w:rsidR="00CB2E76" w:rsidRPr="00F0467F" w14:paraId="0100825F" w14:textId="77777777" w:rsidTr="007421E6">
        <w:trPr>
          <w:trHeight w:val="20"/>
        </w:trPr>
        <w:tc>
          <w:tcPr>
            <w:tcW w:w="6091" w:type="dxa"/>
            <w:vAlign w:val="center"/>
          </w:tcPr>
          <w:p w14:paraId="12EBD9F4" w14:textId="2C4A2725" w:rsidR="00CB2E76" w:rsidRPr="00D01827" w:rsidRDefault="00853B22" w:rsidP="00CB2E76">
            <w:pPr>
              <w:spacing w:before="120" w:after="120"/>
              <w:jc w:val="both"/>
              <w:rPr>
                <w:rFonts w:ascii="Gudea" w:hAnsi="Gudea"/>
                <w:color w:val="162D4C"/>
                <w:sz w:val="20"/>
                <w:lang w:val="en-GB"/>
              </w:rPr>
            </w:pPr>
            <w:r w:rsidRPr="00853B22">
              <w:rPr>
                <w:rFonts w:ascii="Gudea" w:hAnsi="Gudea"/>
                <w:b/>
                <w:bCs/>
                <w:color w:val="162D4C"/>
                <w:sz w:val="20"/>
                <w:lang w:val="en-GB"/>
              </w:rPr>
              <w:lastRenderedPageBreak/>
              <w:t xml:space="preserve">3.4.2. The Committee recommends </w:t>
            </w:r>
            <w:r w:rsidRPr="00853B22">
              <w:rPr>
                <w:rFonts w:ascii="Gudea" w:hAnsi="Gudea"/>
                <w:color w:val="162D4C"/>
                <w:sz w:val="20"/>
                <w:lang w:val="en-GB"/>
              </w:rPr>
              <w:t>that board committees solely consist of members of the board of directors and that the majority of the members of the board committees are independent.</w:t>
            </w:r>
          </w:p>
        </w:tc>
        <w:tc>
          <w:tcPr>
            <w:tcW w:w="2835" w:type="dxa"/>
            <w:vAlign w:val="center"/>
          </w:tcPr>
          <w:p w14:paraId="7D152E3E" w14:textId="77777777" w:rsidR="00CB2E76" w:rsidRPr="00D01827" w:rsidRDefault="00CB2E76" w:rsidP="00CB2E76">
            <w:pPr>
              <w:spacing w:before="120" w:after="120"/>
              <w:jc w:val="both"/>
              <w:rPr>
                <w:rFonts w:ascii="Gudea" w:hAnsi="Gudea"/>
                <w:sz w:val="20"/>
                <w:lang w:val="en-GB"/>
              </w:rPr>
            </w:pPr>
          </w:p>
        </w:tc>
        <w:tc>
          <w:tcPr>
            <w:tcW w:w="2835" w:type="dxa"/>
            <w:tcBorders>
              <w:right w:val="single" w:sz="4" w:space="0" w:color="auto"/>
            </w:tcBorders>
            <w:vAlign w:val="center"/>
          </w:tcPr>
          <w:p w14:paraId="309C011A" w14:textId="77777777" w:rsidR="00CB2E76" w:rsidRPr="00D01827" w:rsidRDefault="00CB2E76" w:rsidP="00CB2E76">
            <w:pPr>
              <w:spacing w:before="120" w:after="120"/>
              <w:jc w:val="both"/>
              <w:rPr>
                <w:rFonts w:ascii="Gudea" w:hAnsi="Gudea"/>
                <w:sz w:val="20"/>
                <w:lang w:val="en-GB"/>
              </w:rPr>
            </w:pPr>
          </w:p>
        </w:tc>
        <w:tc>
          <w:tcPr>
            <w:tcW w:w="2835" w:type="dxa"/>
            <w:tcBorders>
              <w:left w:val="single" w:sz="4" w:space="0" w:color="auto"/>
            </w:tcBorders>
            <w:vAlign w:val="center"/>
          </w:tcPr>
          <w:p w14:paraId="6BE31098" w14:textId="77777777" w:rsidR="00CB2E76" w:rsidRPr="00D01827" w:rsidRDefault="00CB2E76" w:rsidP="00CB2E76">
            <w:pPr>
              <w:spacing w:before="120" w:after="120"/>
              <w:jc w:val="both"/>
              <w:rPr>
                <w:rFonts w:ascii="Gudea" w:hAnsi="Gudea"/>
                <w:sz w:val="20"/>
                <w:lang w:val="en-GB"/>
              </w:rPr>
            </w:pPr>
          </w:p>
        </w:tc>
      </w:tr>
      <w:tr w:rsidR="003556BA" w:rsidRPr="00F0467F" w14:paraId="59A69477" w14:textId="77777777" w:rsidTr="00D01827">
        <w:trPr>
          <w:trHeight w:val="20"/>
        </w:trPr>
        <w:tc>
          <w:tcPr>
            <w:tcW w:w="6091" w:type="dxa"/>
          </w:tcPr>
          <w:p w14:paraId="2743B6B0" w14:textId="77777777" w:rsidR="003556BA" w:rsidRPr="003556BA" w:rsidRDefault="003556BA" w:rsidP="003556BA">
            <w:pPr>
              <w:spacing w:before="120" w:after="120"/>
              <w:jc w:val="both"/>
              <w:rPr>
                <w:rFonts w:ascii="Gudea" w:hAnsi="Gudea"/>
                <w:b/>
                <w:bCs/>
                <w:color w:val="162D4C"/>
                <w:sz w:val="20"/>
                <w:lang w:val="en-GB"/>
              </w:rPr>
            </w:pPr>
            <w:r w:rsidRPr="003556BA">
              <w:rPr>
                <w:rFonts w:ascii="Gudea" w:hAnsi="Gudea"/>
                <w:b/>
                <w:bCs/>
                <w:color w:val="162D4C"/>
                <w:sz w:val="20"/>
                <w:lang w:val="en-GB"/>
              </w:rPr>
              <w:t xml:space="preserve">3.4.3. The Committee recommends </w:t>
            </w:r>
            <w:r w:rsidRPr="003556BA">
              <w:rPr>
                <w:rFonts w:ascii="Gudea" w:hAnsi="Gudea"/>
                <w:color w:val="162D4C"/>
                <w:sz w:val="20"/>
                <w:lang w:val="en-GB"/>
              </w:rPr>
              <w:t>that the board of directors establishes an audit committee and appoints a chairperson of the audit committee, who is not the chairperson of the board of directors. The Committee recommends that the audit committee, in addition to its statutory duties, assists the board of directors in:</w:t>
            </w:r>
          </w:p>
          <w:p w14:paraId="6BC44F02" w14:textId="77777777" w:rsidR="003556BA" w:rsidRPr="003556BA" w:rsidRDefault="003556BA" w:rsidP="003556BA">
            <w:pPr>
              <w:pStyle w:val="Listeafsnit"/>
              <w:numPr>
                <w:ilvl w:val="0"/>
                <w:numId w:val="7"/>
              </w:numPr>
              <w:spacing w:before="120" w:after="120"/>
              <w:jc w:val="both"/>
              <w:rPr>
                <w:rFonts w:ascii="Gudea" w:hAnsi="Gudea"/>
                <w:color w:val="162D4C"/>
                <w:sz w:val="20"/>
                <w:lang w:val="en-GB"/>
              </w:rPr>
            </w:pPr>
            <w:r w:rsidRPr="003556BA">
              <w:rPr>
                <w:rFonts w:ascii="Gudea" w:hAnsi="Gudea"/>
                <w:color w:val="162D4C"/>
                <w:sz w:val="20"/>
                <w:lang w:val="en-GB"/>
              </w:rPr>
              <w:t xml:space="preserve">supervising the correctness of the published financial information, including accounting practices in significant areas, significant accounting estimates and related party transactions, </w:t>
            </w:r>
          </w:p>
          <w:p w14:paraId="6517EE18" w14:textId="77777777" w:rsidR="003556BA" w:rsidRPr="003556BA" w:rsidRDefault="003556BA" w:rsidP="003556BA">
            <w:pPr>
              <w:pStyle w:val="Listeafsnit"/>
              <w:numPr>
                <w:ilvl w:val="0"/>
                <w:numId w:val="7"/>
              </w:numPr>
              <w:spacing w:before="120" w:after="120"/>
              <w:jc w:val="both"/>
              <w:rPr>
                <w:rFonts w:ascii="Gudea" w:hAnsi="Gudea"/>
                <w:color w:val="162D4C"/>
                <w:sz w:val="20"/>
                <w:lang w:val="en-GB"/>
              </w:rPr>
            </w:pPr>
            <w:r w:rsidRPr="003556BA">
              <w:rPr>
                <w:rFonts w:ascii="Gudea" w:hAnsi="Gudea"/>
                <w:color w:val="162D4C"/>
                <w:sz w:val="20"/>
                <w:lang w:val="en-GB"/>
              </w:rPr>
              <w:t xml:space="preserve">reviewing internal control and risk areas in order to ensure management of significant risks, including in relation to the announced financial outlook, </w:t>
            </w:r>
          </w:p>
          <w:p w14:paraId="6215FDFC" w14:textId="77777777" w:rsidR="003556BA" w:rsidRPr="003556BA" w:rsidRDefault="003556BA" w:rsidP="003556BA">
            <w:pPr>
              <w:pStyle w:val="Listeafsnit"/>
              <w:numPr>
                <w:ilvl w:val="0"/>
                <w:numId w:val="7"/>
              </w:numPr>
              <w:spacing w:before="120" w:after="120"/>
              <w:jc w:val="both"/>
              <w:rPr>
                <w:rFonts w:ascii="Gudea" w:hAnsi="Gudea"/>
                <w:color w:val="162D4C"/>
                <w:sz w:val="20"/>
                <w:lang w:val="en-GB"/>
              </w:rPr>
            </w:pPr>
            <w:r w:rsidRPr="003556BA">
              <w:rPr>
                <w:rFonts w:ascii="Gudea" w:hAnsi="Gudea"/>
                <w:color w:val="162D4C"/>
                <w:sz w:val="20"/>
                <w:lang w:val="en-GB"/>
              </w:rPr>
              <w:t xml:space="preserve">assessing the need for internal audit, </w:t>
            </w:r>
          </w:p>
          <w:p w14:paraId="00BDA2A3" w14:textId="77777777" w:rsidR="003556BA" w:rsidRPr="003556BA" w:rsidRDefault="003556BA" w:rsidP="003556BA">
            <w:pPr>
              <w:pStyle w:val="Listeafsnit"/>
              <w:numPr>
                <w:ilvl w:val="0"/>
                <w:numId w:val="7"/>
              </w:numPr>
              <w:spacing w:before="120" w:after="120"/>
              <w:jc w:val="both"/>
              <w:rPr>
                <w:rFonts w:ascii="Gudea" w:hAnsi="Gudea"/>
                <w:color w:val="162D4C"/>
                <w:sz w:val="20"/>
                <w:lang w:val="en-GB"/>
              </w:rPr>
            </w:pPr>
            <w:r w:rsidRPr="003556BA">
              <w:rPr>
                <w:rFonts w:ascii="Gudea" w:hAnsi="Gudea"/>
                <w:color w:val="162D4C"/>
                <w:sz w:val="20"/>
                <w:lang w:val="en-GB"/>
              </w:rPr>
              <w:t xml:space="preserve">performing the evaluation of the auditor elected by the general meeting, </w:t>
            </w:r>
          </w:p>
          <w:p w14:paraId="061504E2" w14:textId="77777777" w:rsidR="003556BA" w:rsidRPr="003556BA" w:rsidRDefault="003556BA" w:rsidP="003556BA">
            <w:pPr>
              <w:pStyle w:val="Listeafsnit"/>
              <w:numPr>
                <w:ilvl w:val="0"/>
                <w:numId w:val="7"/>
              </w:numPr>
              <w:spacing w:before="120" w:after="120"/>
              <w:jc w:val="both"/>
              <w:rPr>
                <w:rFonts w:ascii="Gudea" w:hAnsi="Gudea"/>
                <w:color w:val="162D4C"/>
                <w:sz w:val="20"/>
                <w:lang w:val="en-GB"/>
              </w:rPr>
            </w:pPr>
            <w:r w:rsidRPr="003556BA">
              <w:rPr>
                <w:rFonts w:ascii="Gudea" w:hAnsi="Gudea"/>
                <w:color w:val="162D4C"/>
                <w:sz w:val="20"/>
                <w:lang w:val="en-GB"/>
              </w:rPr>
              <w:t xml:space="preserve">reviewing the auditor fee for the auditor elected by the general meeting, </w:t>
            </w:r>
          </w:p>
          <w:p w14:paraId="6F691862" w14:textId="77777777" w:rsidR="003556BA" w:rsidRPr="003556BA" w:rsidRDefault="003556BA" w:rsidP="003556BA">
            <w:pPr>
              <w:pStyle w:val="Listeafsnit"/>
              <w:numPr>
                <w:ilvl w:val="0"/>
                <w:numId w:val="7"/>
              </w:numPr>
              <w:spacing w:before="120" w:after="120"/>
              <w:jc w:val="both"/>
              <w:rPr>
                <w:rFonts w:ascii="Gudea" w:hAnsi="Gudea"/>
                <w:color w:val="162D4C"/>
                <w:sz w:val="20"/>
                <w:lang w:val="en-GB"/>
              </w:rPr>
            </w:pPr>
            <w:r w:rsidRPr="003556BA">
              <w:rPr>
                <w:rFonts w:ascii="Gudea" w:hAnsi="Gudea"/>
                <w:color w:val="162D4C"/>
                <w:sz w:val="20"/>
                <w:lang w:val="en-GB"/>
              </w:rPr>
              <w:t xml:space="preserve">supervising the scope of the non-audit services performed by the auditor elected by the general meeting, and </w:t>
            </w:r>
          </w:p>
          <w:p w14:paraId="069712E4" w14:textId="6EE8F850" w:rsidR="003556BA" w:rsidRPr="003556BA" w:rsidRDefault="003556BA" w:rsidP="003556BA">
            <w:pPr>
              <w:pStyle w:val="Listeafsnit"/>
              <w:numPr>
                <w:ilvl w:val="0"/>
                <w:numId w:val="7"/>
              </w:numPr>
              <w:spacing w:before="120" w:after="120"/>
              <w:jc w:val="both"/>
              <w:rPr>
                <w:rFonts w:ascii="Gudea" w:hAnsi="Gudea"/>
                <w:color w:val="162D4C"/>
                <w:sz w:val="20"/>
                <w:lang w:val="en-GB"/>
              </w:rPr>
            </w:pPr>
            <w:r w:rsidRPr="003556BA">
              <w:rPr>
                <w:rFonts w:ascii="Gudea" w:hAnsi="Gudea"/>
                <w:color w:val="162D4C"/>
                <w:sz w:val="20"/>
                <w:lang w:val="en-GB"/>
              </w:rPr>
              <w:t>ensuring regular interaction between the auditor elected by the general meeting and the board of directors, for instance, that the board of directors and the audit committee at least once a year meet with the auditor without the executive management being present.</w:t>
            </w:r>
          </w:p>
          <w:p w14:paraId="6CBC77D0" w14:textId="77777777" w:rsidR="003556BA" w:rsidRPr="003556BA" w:rsidRDefault="003556BA" w:rsidP="003556BA">
            <w:pPr>
              <w:spacing w:before="120" w:after="120"/>
              <w:jc w:val="both"/>
              <w:rPr>
                <w:rFonts w:ascii="Gudea" w:hAnsi="Gudea"/>
                <w:color w:val="162D4C"/>
                <w:sz w:val="20"/>
                <w:lang w:val="en-GB"/>
              </w:rPr>
            </w:pPr>
            <w:r w:rsidRPr="003556BA">
              <w:rPr>
                <w:rFonts w:ascii="Gudea" w:hAnsi="Gudea"/>
                <w:color w:val="162D4C"/>
                <w:sz w:val="20"/>
                <w:lang w:val="en-GB"/>
              </w:rPr>
              <w:lastRenderedPageBreak/>
              <w:t>If the board of directors, based on a recommendation from the audit committee, decides to set up an internal audit function, the audit committee must:</w:t>
            </w:r>
          </w:p>
          <w:p w14:paraId="154D4F3E" w14:textId="77777777" w:rsidR="003556BA" w:rsidRPr="003556BA" w:rsidRDefault="003556BA" w:rsidP="003556BA">
            <w:pPr>
              <w:pStyle w:val="Listeafsnit"/>
              <w:numPr>
                <w:ilvl w:val="0"/>
                <w:numId w:val="7"/>
              </w:numPr>
              <w:spacing w:before="120" w:after="120"/>
              <w:jc w:val="both"/>
              <w:rPr>
                <w:rFonts w:ascii="Gudea" w:hAnsi="Gudea"/>
                <w:color w:val="162D4C"/>
                <w:sz w:val="20"/>
                <w:lang w:val="en-GB"/>
              </w:rPr>
            </w:pPr>
            <w:r w:rsidRPr="003556BA">
              <w:rPr>
                <w:rFonts w:ascii="Gudea" w:hAnsi="Gudea"/>
                <w:color w:val="162D4C"/>
                <w:sz w:val="20"/>
                <w:lang w:val="en-GB"/>
              </w:rPr>
              <w:t xml:space="preserve">prepare terms of reference and recommendations on the nomination, employment and dismissal of the head of the internal audit function and on the budget for the department, </w:t>
            </w:r>
          </w:p>
          <w:p w14:paraId="51E5A78F" w14:textId="77777777" w:rsidR="003556BA" w:rsidRPr="003556BA" w:rsidRDefault="003556BA" w:rsidP="003556BA">
            <w:pPr>
              <w:pStyle w:val="Listeafsnit"/>
              <w:numPr>
                <w:ilvl w:val="0"/>
                <w:numId w:val="7"/>
              </w:numPr>
              <w:spacing w:before="120" w:after="120"/>
              <w:jc w:val="both"/>
              <w:rPr>
                <w:rFonts w:ascii="Gudea" w:hAnsi="Gudea"/>
                <w:color w:val="162D4C"/>
                <w:sz w:val="20"/>
                <w:lang w:val="en-GB"/>
              </w:rPr>
            </w:pPr>
            <w:r w:rsidRPr="003556BA">
              <w:rPr>
                <w:rFonts w:ascii="Gudea" w:hAnsi="Gudea"/>
                <w:color w:val="162D4C"/>
                <w:sz w:val="20"/>
                <w:lang w:val="en-GB"/>
              </w:rPr>
              <w:t xml:space="preserve">ensure that the internal audit function has sufficient resources and competencies to perform its role, and </w:t>
            </w:r>
          </w:p>
          <w:p w14:paraId="115F5670" w14:textId="5C06175A" w:rsidR="003556BA" w:rsidRPr="003556BA" w:rsidRDefault="003556BA" w:rsidP="003556BA">
            <w:pPr>
              <w:pStyle w:val="Listeafsnit"/>
              <w:numPr>
                <w:ilvl w:val="0"/>
                <w:numId w:val="7"/>
              </w:numPr>
              <w:spacing w:before="120" w:after="120"/>
              <w:jc w:val="both"/>
              <w:rPr>
                <w:rFonts w:ascii="Gudea" w:hAnsi="Gudea"/>
                <w:color w:val="162D4C"/>
                <w:sz w:val="20"/>
                <w:lang w:val="en-GB"/>
              </w:rPr>
            </w:pPr>
            <w:r w:rsidRPr="003556BA">
              <w:rPr>
                <w:rFonts w:ascii="Gudea" w:hAnsi="Gudea"/>
                <w:color w:val="162D4C"/>
                <w:sz w:val="20"/>
                <w:lang w:val="en-GB"/>
              </w:rPr>
              <w:t>supervise the executive management’s follow-up on the conclusions and recommendations of the internal audit function.</w:t>
            </w:r>
          </w:p>
        </w:tc>
        <w:tc>
          <w:tcPr>
            <w:tcW w:w="2835" w:type="dxa"/>
            <w:vAlign w:val="center"/>
          </w:tcPr>
          <w:p w14:paraId="1183B093" w14:textId="77777777" w:rsidR="003556BA" w:rsidRPr="00D01827" w:rsidRDefault="003556BA" w:rsidP="003556BA">
            <w:pPr>
              <w:spacing w:before="120" w:after="120"/>
              <w:jc w:val="both"/>
              <w:rPr>
                <w:rFonts w:ascii="Gudea" w:hAnsi="Gudea"/>
                <w:sz w:val="20"/>
                <w:lang w:val="en-GB"/>
              </w:rPr>
            </w:pPr>
          </w:p>
        </w:tc>
        <w:tc>
          <w:tcPr>
            <w:tcW w:w="2835" w:type="dxa"/>
            <w:tcBorders>
              <w:right w:val="single" w:sz="4" w:space="0" w:color="auto"/>
            </w:tcBorders>
            <w:vAlign w:val="center"/>
          </w:tcPr>
          <w:p w14:paraId="0419BF7D" w14:textId="77777777" w:rsidR="003556BA" w:rsidRPr="00D01827" w:rsidRDefault="003556BA" w:rsidP="003556BA">
            <w:pPr>
              <w:spacing w:before="120" w:after="120"/>
              <w:jc w:val="both"/>
              <w:rPr>
                <w:rFonts w:ascii="Gudea" w:hAnsi="Gudea"/>
                <w:sz w:val="20"/>
                <w:lang w:val="en-GB"/>
              </w:rPr>
            </w:pPr>
          </w:p>
        </w:tc>
        <w:tc>
          <w:tcPr>
            <w:tcW w:w="2835" w:type="dxa"/>
            <w:tcBorders>
              <w:left w:val="single" w:sz="4" w:space="0" w:color="auto"/>
            </w:tcBorders>
            <w:vAlign w:val="center"/>
          </w:tcPr>
          <w:p w14:paraId="6AD3C7D8" w14:textId="77777777" w:rsidR="003556BA" w:rsidRPr="00D01827" w:rsidRDefault="003556BA" w:rsidP="003556BA">
            <w:pPr>
              <w:spacing w:before="120" w:after="120"/>
              <w:jc w:val="both"/>
              <w:rPr>
                <w:rFonts w:ascii="Gudea" w:hAnsi="Gudea"/>
                <w:sz w:val="20"/>
                <w:lang w:val="en-GB"/>
              </w:rPr>
            </w:pPr>
          </w:p>
        </w:tc>
      </w:tr>
      <w:tr w:rsidR="000D430C" w:rsidRPr="00F0467F" w14:paraId="5CA2AA45" w14:textId="77777777" w:rsidTr="00D01827">
        <w:trPr>
          <w:trHeight w:val="20"/>
        </w:trPr>
        <w:tc>
          <w:tcPr>
            <w:tcW w:w="6091" w:type="dxa"/>
          </w:tcPr>
          <w:p w14:paraId="59DEAF35" w14:textId="77777777" w:rsidR="000D430C" w:rsidRPr="000D430C" w:rsidRDefault="000D430C" w:rsidP="000D430C">
            <w:pPr>
              <w:pStyle w:val="Overskriftiboks"/>
              <w:spacing w:after="80"/>
              <w:rPr>
                <w:lang w:val="en-GB"/>
              </w:rPr>
            </w:pPr>
            <w:r w:rsidRPr="000D430C">
              <w:rPr>
                <w:rFonts w:ascii="Gudea" w:eastAsia="Times New Roman" w:hAnsi="Gudea" w:cs="Times New Roman"/>
                <w:bCs/>
                <w:noProof w:val="0"/>
                <w:color w:val="162D4C"/>
                <w:sz w:val="20"/>
                <w:szCs w:val="20"/>
                <w:lang w:val="en-GB" w:eastAsia="da-DK"/>
              </w:rPr>
              <w:t>3.4.4. The Committee recommends</w:t>
            </w:r>
            <w:r w:rsidRPr="000D430C">
              <w:rPr>
                <w:rFonts w:ascii="Gudea" w:eastAsia="Times New Roman" w:hAnsi="Gudea" w:cs="Times New Roman"/>
                <w:b w:val="0"/>
                <w:noProof w:val="0"/>
                <w:color w:val="162D4C"/>
                <w:sz w:val="20"/>
                <w:szCs w:val="20"/>
                <w:lang w:val="en-GB" w:eastAsia="da-DK"/>
              </w:rPr>
              <w:t xml:space="preserve"> that the board of directors establishes a nomination committee to perform at least the following preparatory tasks:</w:t>
            </w:r>
          </w:p>
          <w:p w14:paraId="4EF45972" w14:textId="77777777" w:rsidR="000D430C" w:rsidRPr="000D430C" w:rsidRDefault="000D430C" w:rsidP="000D430C">
            <w:pPr>
              <w:pStyle w:val="Listeafsnit"/>
              <w:numPr>
                <w:ilvl w:val="0"/>
                <w:numId w:val="7"/>
              </w:numPr>
              <w:spacing w:before="120" w:after="120"/>
              <w:jc w:val="both"/>
              <w:rPr>
                <w:rFonts w:ascii="Gudea" w:hAnsi="Gudea"/>
                <w:color w:val="162D4C"/>
                <w:sz w:val="20"/>
                <w:lang w:val="en-GB"/>
              </w:rPr>
            </w:pPr>
            <w:r w:rsidRPr="000D430C">
              <w:rPr>
                <w:rFonts w:ascii="Gudea" w:hAnsi="Gudea"/>
                <w:color w:val="162D4C"/>
                <w:sz w:val="20"/>
                <w:lang w:val="en-GB"/>
              </w:rPr>
              <w:t xml:space="preserve">describing the required qualifications for a given member of the board of directors and the executive management, the estimated time required for performing the duties of this member of the board of directors and the competencies, knowledge and experience that is or should be represented in the two management bodies,  </w:t>
            </w:r>
          </w:p>
          <w:p w14:paraId="0F185869" w14:textId="77777777" w:rsidR="000D430C" w:rsidRPr="000D430C" w:rsidRDefault="000D430C" w:rsidP="000D430C">
            <w:pPr>
              <w:pStyle w:val="Listeafsnit"/>
              <w:numPr>
                <w:ilvl w:val="0"/>
                <w:numId w:val="7"/>
              </w:numPr>
              <w:spacing w:before="120" w:after="120"/>
              <w:jc w:val="both"/>
              <w:rPr>
                <w:rFonts w:ascii="Gudea" w:hAnsi="Gudea"/>
                <w:color w:val="162D4C"/>
                <w:sz w:val="20"/>
                <w:lang w:val="en-GB"/>
              </w:rPr>
            </w:pPr>
            <w:r w:rsidRPr="000D430C">
              <w:rPr>
                <w:rFonts w:ascii="Gudea" w:hAnsi="Gudea"/>
                <w:color w:val="162D4C"/>
                <w:sz w:val="20"/>
                <w:lang w:val="en-GB"/>
              </w:rPr>
              <w:t xml:space="preserve">on an annual basis evaluating the board of directors and the executive management’s structure, size, composition and results and preparing recommendations for the board of directors for any changes, </w:t>
            </w:r>
          </w:p>
          <w:p w14:paraId="3404807F" w14:textId="77777777" w:rsidR="000D430C" w:rsidRPr="000D430C" w:rsidRDefault="000D430C" w:rsidP="000D430C">
            <w:pPr>
              <w:pStyle w:val="Listeafsnit"/>
              <w:numPr>
                <w:ilvl w:val="0"/>
                <w:numId w:val="7"/>
              </w:numPr>
              <w:spacing w:before="120" w:after="120"/>
              <w:jc w:val="both"/>
              <w:rPr>
                <w:rFonts w:ascii="Gudea" w:hAnsi="Gudea"/>
                <w:color w:val="162D4C"/>
                <w:sz w:val="20"/>
                <w:lang w:val="en-GB"/>
              </w:rPr>
            </w:pPr>
            <w:r w:rsidRPr="000D430C">
              <w:rPr>
                <w:rFonts w:ascii="Gudea" w:hAnsi="Gudea"/>
                <w:color w:val="162D4C"/>
                <w:sz w:val="20"/>
                <w:lang w:val="en-GB"/>
              </w:rPr>
              <w:t xml:space="preserve">in cooperation with the chairperson handling the annual evaluation of the board of directors and assessing the individual management members’ competencies, knowledge, experience </w:t>
            </w:r>
            <w:r w:rsidRPr="000D430C">
              <w:rPr>
                <w:rFonts w:ascii="Gudea" w:hAnsi="Gudea"/>
                <w:color w:val="162D4C"/>
                <w:sz w:val="20"/>
                <w:lang w:val="en-GB"/>
              </w:rPr>
              <w:lastRenderedPageBreak/>
              <w:t xml:space="preserve">and succession as well as reporting on it to the board of directors, </w:t>
            </w:r>
          </w:p>
          <w:p w14:paraId="2BC26580" w14:textId="77777777" w:rsidR="000D430C" w:rsidRPr="000D430C" w:rsidRDefault="000D430C" w:rsidP="000D430C">
            <w:pPr>
              <w:pStyle w:val="Listeafsnit"/>
              <w:numPr>
                <w:ilvl w:val="0"/>
                <w:numId w:val="7"/>
              </w:numPr>
              <w:spacing w:before="120" w:after="120"/>
              <w:jc w:val="both"/>
              <w:rPr>
                <w:rFonts w:ascii="Gudea" w:hAnsi="Gudea"/>
                <w:color w:val="162D4C"/>
                <w:sz w:val="20"/>
                <w:lang w:val="en-GB"/>
              </w:rPr>
            </w:pPr>
            <w:r w:rsidRPr="000D430C">
              <w:rPr>
                <w:rFonts w:ascii="Gudea" w:hAnsi="Gudea"/>
                <w:color w:val="162D4C"/>
                <w:sz w:val="20"/>
                <w:lang w:val="en-GB"/>
              </w:rPr>
              <w:t>handling the recruitment of new members to the board of directors and the executive management and nominating candidates for the board of directors' approval,</w:t>
            </w:r>
          </w:p>
          <w:p w14:paraId="5BBC9F6A" w14:textId="77777777" w:rsidR="000D430C" w:rsidRPr="000D430C" w:rsidRDefault="000D430C" w:rsidP="000D430C">
            <w:pPr>
              <w:pStyle w:val="Listeafsnit"/>
              <w:numPr>
                <w:ilvl w:val="0"/>
                <w:numId w:val="7"/>
              </w:numPr>
              <w:spacing w:before="120" w:after="120"/>
              <w:jc w:val="both"/>
              <w:rPr>
                <w:rFonts w:ascii="Gudea" w:hAnsi="Gudea"/>
                <w:color w:val="162D4C"/>
                <w:sz w:val="20"/>
                <w:lang w:val="en-GB"/>
              </w:rPr>
            </w:pPr>
            <w:r w:rsidRPr="000D430C">
              <w:rPr>
                <w:rFonts w:ascii="Gudea" w:hAnsi="Gudea"/>
                <w:color w:val="162D4C"/>
                <w:sz w:val="20"/>
                <w:lang w:val="en-GB"/>
              </w:rPr>
              <w:t xml:space="preserve">ensuring that a succession plan for the executive management is in place, </w:t>
            </w:r>
          </w:p>
          <w:p w14:paraId="46E950AA" w14:textId="77777777" w:rsidR="000D430C" w:rsidRDefault="000D430C" w:rsidP="000D430C">
            <w:pPr>
              <w:pStyle w:val="Listeafsnit"/>
              <w:numPr>
                <w:ilvl w:val="0"/>
                <w:numId w:val="7"/>
              </w:numPr>
              <w:spacing w:before="120" w:after="120"/>
              <w:jc w:val="both"/>
              <w:rPr>
                <w:rFonts w:ascii="Gudea" w:hAnsi="Gudea"/>
                <w:color w:val="162D4C"/>
                <w:sz w:val="20"/>
                <w:lang w:val="en-GB"/>
              </w:rPr>
            </w:pPr>
            <w:r w:rsidRPr="000D430C">
              <w:rPr>
                <w:rFonts w:ascii="Gudea" w:hAnsi="Gudea"/>
                <w:color w:val="162D4C"/>
                <w:sz w:val="20"/>
                <w:lang w:val="en-GB"/>
              </w:rPr>
              <w:t xml:space="preserve">supervising executive managements’ policy for the engagement of executive employees, and </w:t>
            </w:r>
          </w:p>
          <w:p w14:paraId="0B40969E" w14:textId="19B81AD0" w:rsidR="000D430C" w:rsidRPr="000D430C" w:rsidRDefault="000D430C" w:rsidP="000D430C">
            <w:pPr>
              <w:pStyle w:val="Listeafsnit"/>
              <w:numPr>
                <w:ilvl w:val="0"/>
                <w:numId w:val="7"/>
              </w:numPr>
              <w:spacing w:before="120" w:after="120"/>
              <w:jc w:val="both"/>
              <w:rPr>
                <w:rFonts w:ascii="Gudea" w:hAnsi="Gudea"/>
                <w:color w:val="162D4C"/>
                <w:sz w:val="20"/>
                <w:lang w:val="en-GB"/>
              </w:rPr>
            </w:pPr>
            <w:r w:rsidRPr="000D430C">
              <w:rPr>
                <w:rFonts w:ascii="Gudea" w:hAnsi="Gudea"/>
                <w:color w:val="162D4C"/>
                <w:sz w:val="20"/>
                <w:lang w:val="en-GB"/>
              </w:rPr>
              <w:t>supervising the preparation of a diversity policy for the board of directors’ approval.</w:t>
            </w:r>
          </w:p>
        </w:tc>
        <w:tc>
          <w:tcPr>
            <w:tcW w:w="2835" w:type="dxa"/>
            <w:vAlign w:val="center"/>
          </w:tcPr>
          <w:p w14:paraId="47DEEC49" w14:textId="77777777" w:rsidR="000D430C" w:rsidRPr="00D01827" w:rsidRDefault="000D430C" w:rsidP="000D430C">
            <w:pPr>
              <w:spacing w:before="120" w:after="120"/>
              <w:jc w:val="both"/>
              <w:rPr>
                <w:rFonts w:ascii="Gudea" w:hAnsi="Gudea"/>
                <w:sz w:val="20"/>
                <w:lang w:val="en-GB"/>
              </w:rPr>
            </w:pPr>
          </w:p>
        </w:tc>
        <w:tc>
          <w:tcPr>
            <w:tcW w:w="2835" w:type="dxa"/>
            <w:tcBorders>
              <w:right w:val="single" w:sz="4" w:space="0" w:color="auto"/>
            </w:tcBorders>
            <w:vAlign w:val="center"/>
          </w:tcPr>
          <w:p w14:paraId="4E1B91E6" w14:textId="77777777" w:rsidR="000D430C" w:rsidRPr="00D01827" w:rsidRDefault="000D430C" w:rsidP="000D430C">
            <w:pPr>
              <w:spacing w:before="120" w:after="120"/>
              <w:jc w:val="both"/>
              <w:rPr>
                <w:rFonts w:ascii="Gudea" w:hAnsi="Gudea"/>
                <w:sz w:val="20"/>
                <w:lang w:val="en-GB"/>
              </w:rPr>
            </w:pPr>
          </w:p>
        </w:tc>
        <w:tc>
          <w:tcPr>
            <w:tcW w:w="2835" w:type="dxa"/>
            <w:tcBorders>
              <w:left w:val="single" w:sz="4" w:space="0" w:color="auto"/>
            </w:tcBorders>
            <w:vAlign w:val="center"/>
          </w:tcPr>
          <w:p w14:paraId="12B8F52E" w14:textId="77777777" w:rsidR="000D430C" w:rsidRPr="00D01827" w:rsidRDefault="000D430C" w:rsidP="000D430C">
            <w:pPr>
              <w:spacing w:before="120" w:after="120"/>
              <w:jc w:val="both"/>
              <w:rPr>
                <w:rFonts w:ascii="Gudea" w:hAnsi="Gudea"/>
                <w:sz w:val="20"/>
                <w:lang w:val="en-GB"/>
              </w:rPr>
            </w:pPr>
          </w:p>
        </w:tc>
      </w:tr>
      <w:tr w:rsidR="000D430C" w:rsidRPr="00F0467F" w14:paraId="779EF9EB" w14:textId="77777777" w:rsidTr="007421E6">
        <w:trPr>
          <w:trHeight w:val="20"/>
        </w:trPr>
        <w:tc>
          <w:tcPr>
            <w:tcW w:w="6091" w:type="dxa"/>
            <w:vAlign w:val="center"/>
          </w:tcPr>
          <w:p w14:paraId="252B6000" w14:textId="77777777" w:rsidR="000D430C" w:rsidRPr="000D430C" w:rsidRDefault="000D430C" w:rsidP="000D430C">
            <w:pPr>
              <w:spacing w:before="120" w:after="120"/>
              <w:jc w:val="both"/>
              <w:rPr>
                <w:rFonts w:ascii="Gudea" w:hAnsi="Gudea"/>
                <w:color w:val="162D4C"/>
                <w:sz w:val="20"/>
                <w:lang w:val="en-GB"/>
              </w:rPr>
            </w:pPr>
            <w:r w:rsidRPr="000D430C">
              <w:rPr>
                <w:rFonts w:ascii="Gudea" w:hAnsi="Gudea"/>
                <w:b/>
                <w:bCs/>
                <w:color w:val="162D4C"/>
                <w:sz w:val="20"/>
                <w:lang w:val="en-GB"/>
              </w:rPr>
              <w:t>3.4.5. The Committee recommends</w:t>
            </w:r>
            <w:r w:rsidRPr="000D430C">
              <w:rPr>
                <w:rFonts w:ascii="Gudea" w:hAnsi="Gudea"/>
                <w:color w:val="162D4C"/>
                <w:sz w:val="20"/>
                <w:lang w:val="en-GB"/>
              </w:rPr>
              <w:t xml:space="preserve"> that the board of directors establishes a remuneration committee to perform at least the following preparatory tasks:</w:t>
            </w:r>
          </w:p>
          <w:p w14:paraId="0C0EB101" w14:textId="4949ECEB" w:rsidR="000D430C" w:rsidRPr="000D430C" w:rsidRDefault="000D430C" w:rsidP="000D430C">
            <w:pPr>
              <w:pStyle w:val="Listeafsnit"/>
              <w:numPr>
                <w:ilvl w:val="0"/>
                <w:numId w:val="7"/>
              </w:numPr>
              <w:spacing w:before="120" w:after="120"/>
              <w:jc w:val="both"/>
              <w:rPr>
                <w:rFonts w:ascii="Gudea" w:hAnsi="Gudea"/>
                <w:color w:val="162D4C"/>
                <w:sz w:val="20"/>
                <w:lang w:val="en-GB"/>
              </w:rPr>
            </w:pPr>
            <w:r w:rsidRPr="000D430C">
              <w:rPr>
                <w:rFonts w:ascii="Gudea" w:hAnsi="Gudea"/>
                <w:color w:val="162D4C"/>
                <w:sz w:val="20"/>
                <w:lang w:val="en-GB"/>
              </w:rPr>
              <w:t xml:space="preserve">preparing a draft remuneration policy for the board of directors’ approval prior to the presentation at the general meeting, </w:t>
            </w:r>
          </w:p>
          <w:p w14:paraId="2AA9198A" w14:textId="52F80407" w:rsidR="000D430C" w:rsidRPr="000D430C" w:rsidRDefault="000D430C" w:rsidP="000D430C">
            <w:pPr>
              <w:pStyle w:val="Listeafsnit"/>
              <w:numPr>
                <w:ilvl w:val="0"/>
                <w:numId w:val="7"/>
              </w:numPr>
              <w:spacing w:before="120" w:after="120"/>
              <w:jc w:val="both"/>
              <w:rPr>
                <w:rFonts w:ascii="Gudea" w:hAnsi="Gudea"/>
                <w:color w:val="162D4C"/>
                <w:sz w:val="20"/>
                <w:lang w:val="en-GB"/>
              </w:rPr>
            </w:pPr>
            <w:r w:rsidRPr="000D430C">
              <w:rPr>
                <w:rFonts w:ascii="Gudea" w:hAnsi="Gudea"/>
                <w:color w:val="162D4C"/>
                <w:sz w:val="20"/>
                <w:lang w:val="en-GB"/>
              </w:rPr>
              <w:t xml:space="preserve">providing a proposal to the board of directors on the remuneration of the members of the executive management, </w:t>
            </w:r>
          </w:p>
          <w:p w14:paraId="34459EBC" w14:textId="3A20BD1A" w:rsidR="000D430C" w:rsidRPr="000D430C" w:rsidRDefault="000D430C" w:rsidP="000D430C">
            <w:pPr>
              <w:pStyle w:val="Listeafsnit"/>
              <w:numPr>
                <w:ilvl w:val="0"/>
                <w:numId w:val="7"/>
              </w:numPr>
              <w:spacing w:before="120" w:after="120"/>
              <w:jc w:val="both"/>
              <w:rPr>
                <w:rFonts w:ascii="Gudea" w:hAnsi="Gudea"/>
                <w:color w:val="162D4C"/>
                <w:sz w:val="20"/>
                <w:lang w:val="en-GB"/>
              </w:rPr>
            </w:pPr>
            <w:r w:rsidRPr="000D430C">
              <w:rPr>
                <w:rFonts w:ascii="Gudea" w:hAnsi="Gudea"/>
                <w:color w:val="162D4C"/>
                <w:sz w:val="20"/>
                <w:lang w:val="en-GB"/>
              </w:rPr>
              <w:t xml:space="preserve">providing a proposal to the board of directors on the remuneration of the board of directors prior to the presentation at the general meeting, </w:t>
            </w:r>
          </w:p>
          <w:p w14:paraId="49BA9AD7" w14:textId="77777777" w:rsidR="000D430C" w:rsidRDefault="000D430C" w:rsidP="000D430C">
            <w:pPr>
              <w:pStyle w:val="Listeafsnit"/>
              <w:numPr>
                <w:ilvl w:val="0"/>
                <w:numId w:val="7"/>
              </w:numPr>
              <w:spacing w:before="120" w:after="120"/>
              <w:jc w:val="both"/>
              <w:rPr>
                <w:rFonts w:ascii="Gudea" w:hAnsi="Gudea"/>
                <w:color w:val="162D4C"/>
                <w:sz w:val="20"/>
                <w:lang w:val="en-GB"/>
              </w:rPr>
            </w:pPr>
            <w:r w:rsidRPr="000D430C">
              <w:rPr>
                <w:rFonts w:ascii="Gudea" w:hAnsi="Gudea"/>
                <w:color w:val="162D4C"/>
                <w:sz w:val="20"/>
                <w:lang w:val="en-GB"/>
              </w:rPr>
              <w:t xml:space="preserve">ensuring that the management’s actual remuneration complies with the company’s remuneration policy and the evaluation of the individual member’s performance, and </w:t>
            </w:r>
          </w:p>
          <w:p w14:paraId="25C1D7B4" w14:textId="25946A31" w:rsidR="000D430C" w:rsidRPr="000D430C" w:rsidRDefault="000D430C" w:rsidP="000D430C">
            <w:pPr>
              <w:pStyle w:val="Listeafsnit"/>
              <w:numPr>
                <w:ilvl w:val="0"/>
                <w:numId w:val="7"/>
              </w:numPr>
              <w:spacing w:before="120" w:after="120"/>
              <w:jc w:val="both"/>
              <w:rPr>
                <w:rFonts w:ascii="Gudea" w:hAnsi="Gudea"/>
                <w:color w:val="162D4C"/>
                <w:sz w:val="20"/>
                <w:lang w:val="en-GB"/>
              </w:rPr>
            </w:pPr>
            <w:r w:rsidRPr="000D430C">
              <w:rPr>
                <w:rFonts w:ascii="Gudea" w:hAnsi="Gudea"/>
                <w:color w:val="162D4C"/>
                <w:sz w:val="20"/>
                <w:lang w:val="en-GB"/>
              </w:rPr>
              <w:t>assisting in the preparation of the annual remuneration report for the board of directors’ approval prior to the presentation for the general meeting's advisory vote.</w:t>
            </w:r>
          </w:p>
        </w:tc>
        <w:tc>
          <w:tcPr>
            <w:tcW w:w="2835" w:type="dxa"/>
            <w:vAlign w:val="center"/>
          </w:tcPr>
          <w:p w14:paraId="187CE803" w14:textId="77777777" w:rsidR="000D430C" w:rsidRPr="00D01827" w:rsidRDefault="000D430C" w:rsidP="000D430C">
            <w:pPr>
              <w:spacing w:before="120" w:after="120"/>
              <w:jc w:val="both"/>
              <w:rPr>
                <w:rFonts w:ascii="Gudea" w:hAnsi="Gudea"/>
                <w:sz w:val="20"/>
                <w:lang w:val="en-GB"/>
              </w:rPr>
            </w:pPr>
          </w:p>
        </w:tc>
        <w:tc>
          <w:tcPr>
            <w:tcW w:w="2835" w:type="dxa"/>
            <w:tcBorders>
              <w:right w:val="single" w:sz="4" w:space="0" w:color="auto"/>
            </w:tcBorders>
            <w:vAlign w:val="center"/>
          </w:tcPr>
          <w:p w14:paraId="0ADD89D8" w14:textId="77777777" w:rsidR="000D430C" w:rsidRPr="00D01827" w:rsidRDefault="000D430C" w:rsidP="000D430C">
            <w:pPr>
              <w:spacing w:before="120" w:after="120"/>
              <w:jc w:val="both"/>
              <w:rPr>
                <w:rFonts w:ascii="Gudea" w:hAnsi="Gudea"/>
                <w:sz w:val="20"/>
                <w:lang w:val="en-GB"/>
              </w:rPr>
            </w:pPr>
          </w:p>
        </w:tc>
        <w:tc>
          <w:tcPr>
            <w:tcW w:w="2835" w:type="dxa"/>
            <w:tcBorders>
              <w:left w:val="single" w:sz="4" w:space="0" w:color="auto"/>
            </w:tcBorders>
            <w:vAlign w:val="center"/>
          </w:tcPr>
          <w:p w14:paraId="6FFDD345" w14:textId="77777777" w:rsidR="000D430C" w:rsidRPr="00D01827" w:rsidRDefault="000D430C" w:rsidP="000D430C">
            <w:pPr>
              <w:spacing w:before="120" w:after="120"/>
              <w:jc w:val="both"/>
              <w:rPr>
                <w:rFonts w:ascii="Gudea" w:hAnsi="Gudea"/>
                <w:sz w:val="20"/>
                <w:lang w:val="en-GB"/>
              </w:rPr>
            </w:pPr>
          </w:p>
        </w:tc>
      </w:tr>
      <w:tr w:rsidR="000D430C" w:rsidRPr="00F0467F" w14:paraId="2FDCDCCD" w14:textId="77777777" w:rsidTr="003C7816">
        <w:trPr>
          <w:trHeight w:val="410"/>
        </w:trPr>
        <w:tc>
          <w:tcPr>
            <w:tcW w:w="14596" w:type="dxa"/>
            <w:gridSpan w:val="4"/>
            <w:tcBorders>
              <w:top w:val="nil"/>
              <w:bottom w:val="nil"/>
              <w:right w:val="nil"/>
            </w:tcBorders>
            <w:shd w:val="clear" w:color="auto" w:fill="162D4C"/>
            <w:vAlign w:val="center"/>
          </w:tcPr>
          <w:p w14:paraId="41E2AB92" w14:textId="5E889D92" w:rsidR="000D430C" w:rsidRPr="00D01827" w:rsidRDefault="000D430C" w:rsidP="000D430C">
            <w:pPr>
              <w:spacing w:before="120" w:after="120"/>
              <w:jc w:val="both"/>
              <w:rPr>
                <w:rFonts w:asciiTheme="majorHAnsi" w:hAnsiTheme="majorHAnsi"/>
                <w:b/>
                <w:color w:val="1F497D" w:themeColor="text2"/>
                <w:lang w:val="en-GB"/>
              </w:rPr>
            </w:pPr>
            <w:bookmarkStart w:id="14" w:name="_Hlk33538828"/>
            <w:r w:rsidRPr="00D01827">
              <w:rPr>
                <w:rFonts w:ascii="Gudea" w:hAnsi="Gudea"/>
                <w:b/>
                <w:color w:val="FFFFFF" w:themeColor="background1"/>
                <w:sz w:val="22"/>
                <w:lang w:val="en-GB"/>
              </w:rPr>
              <w:lastRenderedPageBreak/>
              <w:t xml:space="preserve">3.5. </w:t>
            </w:r>
            <w:bookmarkStart w:id="15" w:name="_Toc55995714"/>
            <w:r w:rsidRPr="00D01827">
              <w:rPr>
                <w:rFonts w:ascii="Gudea" w:hAnsi="Gudea"/>
                <w:b/>
                <w:color w:val="FFFFFF" w:themeColor="background1"/>
                <w:sz w:val="22"/>
                <w:lang w:val="en-GB"/>
              </w:rPr>
              <w:t>Evaluation of the board of directors and the executive management</w:t>
            </w:r>
            <w:bookmarkEnd w:id="15"/>
          </w:p>
        </w:tc>
      </w:tr>
      <w:bookmarkEnd w:id="14"/>
      <w:tr w:rsidR="000D430C" w:rsidRPr="00F0467F" w14:paraId="0C5B6051" w14:textId="77777777" w:rsidTr="007421E6">
        <w:trPr>
          <w:trHeight w:val="20"/>
        </w:trPr>
        <w:tc>
          <w:tcPr>
            <w:tcW w:w="6091" w:type="dxa"/>
            <w:vAlign w:val="center"/>
          </w:tcPr>
          <w:p w14:paraId="33333D31" w14:textId="77777777" w:rsidR="000D430C" w:rsidRPr="000D430C" w:rsidRDefault="000D430C" w:rsidP="000D430C">
            <w:pPr>
              <w:spacing w:before="120" w:after="120"/>
              <w:rPr>
                <w:rFonts w:ascii="Gudea" w:hAnsi="Gudea"/>
                <w:color w:val="162D4C"/>
                <w:sz w:val="20"/>
                <w:lang w:val="en-GB"/>
              </w:rPr>
            </w:pPr>
            <w:r w:rsidRPr="000D430C">
              <w:rPr>
                <w:rFonts w:ascii="Gudea" w:hAnsi="Gudea"/>
                <w:b/>
                <w:bCs/>
                <w:color w:val="162D4C"/>
                <w:sz w:val="20"/>
                <w:lang w:val="en-GB"/>
              </w:rPr>
              <w:t>3.5.1. The Committee recommends</w:t>
            </w:r>
            <w:r w:rsidRPr="000D430C">
              <w:rPr>
                <w:rFonts w:ascii="Gudea" w:hAnsi="Gudea"/>
                <w:color w:val="162D4C"/>
                <w:sz w:val="20"/>
                <w:lang w:val="en-GB"/>
              </w:rPr>
              <w:t xml:space="preserve"> that the board of directors once a year evaluates the board of directors and at least every three years engages external assistance in the evaluation. The Committee recommends that the evaluation focuses on the recommendations on the board of directors’ work, efficiency, composition and organisation, cf. recommendations 3.1.-3.4. above, and that the evaluation as a minimum always includes the following topics: </w:t>
            </w:r>
          </w:p>
          <w:p w14:paraId="4FBF473C" w14:textId="7330746A" w:rsidR="000D430C" w:rsidRPr="000D430C" w:rsidRDefault="000D430C" w:rsidP="000D430C">
            <w:pPr>
              <w:pStyle w:val="Listeafsnit"/>
              <w:numPr>
                <w:ilvl w:val="0"/>
                <w:numId w:val="7"/>
              </w:numPr>
              <w:spacing w:before="120" w:after="120"/>
              <w:jc w:val="both"/>
              <w:rPr>
                <w:rFonts w:ascii="Gudea" w:hAnsi="Gudea"/>
                <w:color w:val="162D4C"/>
                <w:sz w:val="20"/>
                <w:lang w:val="en-GB"/>
              </w:rPr>
            </w:pPr>
            <w:r w:rsidRPr="000D430C">
              <w:rPr>
                <w:rFonts w:ascii="Gudea" w:hAnsi="Gudea"/>
                <w:color w:val="162D4C"/>
                <w:sz w:val="20"/>
                <w:lang w:val="en-GB"/>
              </w:rPr>
              <w:t xml:space="preserve">the composition of the board of directors with focus on competencies and diversity </w:t>
            </w:r>
          </w:p>
          <w:p w14:paraId="781C98BE" w14:textId="01C17BC8" w:rsidR="000D430C" w:rsidRPr="000D430C" w:rsidRDefault="000D430C" w:rsidP="000D430C">
            <w:pPr>
              <w:pStyle w:val="Listeafsnit"/>
              <w:numPr>
                <w:ilvl w:val="0"/>
                <w:numId w:val="7"/>
              </w:numPr>
              <w:spacing w:before="120" w:after="120"/>
              <w:jc w:val="both"/>
              <w:rPr>
                <w:rFonts w:ascii="Gudea" w:hAnsi="Gudea"/>
                <w:color w:val="162D4C"/>
                <w:sz w:val="20"/>
                <w:lang w:val="en-GB"/>
              </w:rPr>
            </w:pPr>
            <w:r w:rsidRPr="000D430C">
              <w:rPr>
                <w:rFonts w:ascii="Gudea" w:hAnsi="Gudea"/>
                <w:color w:val="162D4C"/>
                <w:sz w:val="20"/>
                <w:lang w:val="en-GB"/>
              </w:rPr>
              <w:t xml:space="preserve">the board of directors and the individual member’s contribution and results, </w:t>
            </w:r>
          </w:p>
          <w:p w14:paraId="7C1CA9F4" w14:textId="4B9F66DD" w:rsidR="000D430C" w:rsidRPr="000D430C" w:rsidRDefault="000D430C" w:rsidP="000D430C">
            <w:pPr>
              <w:pStyle w:val="Listeafsnit"/>
              <w:numPr>
                <w:ilvl w:val="0"/>
                <w:numId w:val="7"/>
              </w:numPr>
              <w:spacing w:before="120" w:after="120"/>
              <w:jc w:val="both"/>
              <w:rPr>
                <w:rFonts w:ascii="Gudea" w:hAnsi="Gudea"/>
                <w:color w:val="162D4C"/>
                <w:sz w:val="20"/>
                <w:lang w:val="en-GB"/>
              </w:rPr>
            </w:pPr>
            <w:r w:rsidRPr="000D430C">
              <w:rPr>
                <w:rFonts w:ascii="Gudea" w:hAnsi="Gudea"/>
                <w:color w:val="162D4C"/>
                <w:sz w:val="20"/>
                <w:lang w:val="en-GB"/>
              </w:rPr>
              <w:t xml:space="preserve">the cooperation on the board of directors and between the board of directors and the executive management, </w:t>
            </w:r>
          </w:p>
          <w:p w14:paraId="72B0FC6F" w14:textId="768285DD" w:rsidR="000D430C" w:rsidRPr="000D430C" w:rsidRDefault="000D430C" w:rsidP="000D430C">
            <w:pPr>
              <w:pStyle w:val="Listeafsnit"/>
              <w:numPr>
                <w:ilvl w:val="0"/>
                <w:numId w:val="7"/>
              </w:numPr>
              <w:spacing w:before="120" w:after="120"/>
              <w:jc w:val="both"/>
              <w:rPr>
                <w:rFonts w:ascii="Gudea" w:hAnsi="Gudea"/>
                <w:color w:val="162D4C"/>
                <w:sz w:val="20"/>
                <w:lang w:val="en-GB"/>
              </w:rPr>
            </w:pPr>
            <w:r w:rsidRPr="000D430C">
              <w:rPr>
                <w:rFonts w:ascii="Gudea" w:hAnsi="Gudea"/>
                <w:color w:val="162D4C"/>
                <w:sz w:val="20"/>
                <w:lang w:val="en-GB"/>
              </w:rPr>
              <w:t xml:space="preserve">the chairperson’s leadership of the board of directors, </w:t>
            </w:r>
          </w:p>
          <w:p w14:paraId="0AD125D7" w14:textId="73FD82D0" w:rsidR="000D430C" w:rsidRPr="000D430C" w:rsidRDefault="000D430C" w:rsidP="000D430C">
            <w:pPr>
              <w:pStyle w:val="Listeafsnit"/>
              <w:numPr>
                <w:ilvl w:val="0"/>
                <w:numId w:val="7"/>
              </w:numPr>
              <w:spacing w:before="120" w:after="120"/>
              <w:jc w:val="both"/>
              <w:rPr>
                <w:rFonts w:ascii="Gudea" w:hAnsi="Gudea"/>
                <w:color w:val="162D4C"/>
                <w:sz w:val="20"/>
                <w:lang w:val="en-GB"/>
              </w:rPr>
            </w:pPr>
            <w:r w:rsidRPr="000D430C">
              <w:rPr>
                <w:rFonts w:ascii="Gudea" w:hAnsi="Gudea"/>
                <w:color w:val="162D4C"/>
                <w:sz w:val="20"/>
                <w:lang w:val="en-GB"/>
              </w:rPr>
              <w:t xml:space="preserve">the committee structure and the work in the committees, </w:t>
            </w:r>
          </w:p>
          <w:p w14:paraId="14A551CB" w14:textId="416084BE" w:rsidR="000D430C" w:rsidRPr="000D430C" w:rsidRDefault="000D430C" w:rsidP="000D430C">
            <w:pPr>
              <w:pStyle w:val="Listeafsnit"/>
              <w:numPr>
                <w:ilvl w:val="0"/>
                <w:numId w:val="7"/>
              </w:numPr>
              <w:spacing w:before="120" w:after="120"/>
              <w:jc w:val="both"/>
              <w:rPr>
                <w:rFonts w:ascii="Gudea" w:hAnsi="Gudea"/>
                <w:color w:val="162D4C"/>
                <w:sz w:val="20"/>
                <w:lang w:val="en-GB"/>
              </w:rPr>
            </w:pPr>
            <w:r w:rsidRPr="000D430C">
              <w:rPr>
                <w:rFonts w:ascii="Gudea" w:hAnsi="Gudea"/>
                <w:color w:val="162D4C"/>
                <w:sz w:val="20"/>
                <w:lang w:val="en-GB"/>
              </w:rPr>
              <w:t>the organisation of the work of the board of directors and the quality of the material provided to the board of directors, and</w:t>
            </w:r>
          </w:p>
          <w:p w14:paraId="7C9E2862" w14:textId="2B5697F4" w:rsidR="000D430C" w:rsidRPr="000D430C" w:rsidRDefault="000D430C" w:rsidP="000D430C">
            <w:pPr>
              <w:pStyle w:val="Listeafsnit"/>
              <w:numPr>
                <w:ilvl w:val="0"/>
                <w:numId w:val="7"/>
              </w:numPr>
              <w:spacing w:before="120" w:after="120"/>
              <w:jc w:val="both"/>
              <w:rPr>
                <w:rFonts w:ascii="Gudea" w:hAnsi="Gudea"/>
                <w:color w:val="162D4C"/>
                <w:sz w:val="20"/>
                <w:lang w:val="en-GB"/>
              </w:rPr>
            </w:pPr>
            <w:r w:rsidRPr="000D430C">
              <w:rPr>
                <w:rFonts w:ascii="Gudea" w:hAnsi="Gudea"/>
                <w:color w:val="162D4C"/>
                <w:sz w:val="20"/>
                <w:lang w:val="en-GB"/>
              </w:rPr>
              <w:t>the board members’ preparation for and active participation in the meetings of the board of directors.</w:t>
            </w:r>
          </w:p>
        </w:tc>
        <w:tc>
          <w:tcPr>
            <w:tcW w:w="2835" w:type="dxa"/>
            <w:vAlign w:val="center"/>
          </w:tcPr>
          <w:p w14:paraId="5A802778" w14:textId="77777777" w:rsidR="000D430C" w:rsidRPr="00D01827" w:rsidRDefault="000D430C" w:rsidP="000D430C">
            <w:pPr>
              <w:jc w:val="both"/>
              <w:rPr>
                <w:rFonts w:ascii="Gudea" w:hAnsi="Gudea"/>
                <w:sz w:val="20"/>
                <w:lang w:val="en-GB"/>
              </w:rPr>
            </w:pPr>
          </w:p>
        </w:tc>
        <w:tc>
          <w:tcPr>
            <w:tcW w:w="2835" w:type="dxa"/>
            <w:tcBorders>
              <w:right w:val="single" w:sz="4" w:space="0" w:color="auto"/>
            </w:tcBorders>
            <w:vAlign w:val="center"/>
          </w:tcPr>
          <w:p w14:paraId="017707C8" w14:textId="77777777" w:rsidR="000D430C" w:rsidRPr="00D01827" w:rsidRDefault="000D430C" w:rsidP="000D430C">
            <w:pPr>
              <w:jc w:val="both"/>
              <w:rPr>
                <w:rFonts w:ascii="Gudea" w:hAnsi="Gudea"/>
                <w:sz w:val="20"/>
                <w:lang w:val="en-GB"/>
              </w:rPr>
            </w:pPr>
          </w:p>
        </w:tc>
        <w:tc>
          <w:tcPr>
            <w:tcW w:w="2835" w:type="dxa"/>
            <w:tcBorders>
              <w:left w:val="single" w:sz="4" w:space="0" w:color="auto"/>
            </w:tcBorders>
            <w:vAlign w:val="center"/>
          </w:tcPr>
          <w:p w14:paraId="4E722752" w14:textId="77777777" w:rsidR="000D430C" w:rsidRPr="00D01827" w:rsidRDefault="000D430C" w:rsidP="000D430C">
            <w:pPr>
              <w:jc w:val="both"/>
              <w:rPr>
                <w:rFonts w:ascii="Gudea" w:hAnsi="Gudea"/>
                <w:sz w:val="20"/>
                <w:lang w:val="en-GB"/>
              </w:rPr>
            </w:pPr>
          </w:p>
        </w:tc>
      </w:tr>
      <w:tr w:rsidR="000D430C" w:rsidRPr="00F0467F" w14:paraId="2B0A50AB" w14:textId="77777777" w:rsidTr="007421E6">
        <w:trPr>
          <w:trHeight w:val="20"/>
        </w:trPr>
        <w:tc>
          <w:tcPr>
            <w:tcW w:w="6091" w:type="dxa"/>
            <w:vAlign w:val="center"/>
          </w:tcPr>
          <w:p w14:paraId="6BD0A273" w14:textId="61CC95CA" w:rsidR="000D430C" w:rsidRPr="00D01827" w:rsidRDefault="008E44B9" w:rsidP="000D430C">
            <w:pPr>
              <w:spacing w:before="120" w:after="120"/>
              <w:rPr>
                <w:rFonts w:ascii="Gudea" w:hAnsi="Gudea"/>
                <w:color w:val="162D4C"/>
                <w:sz w:val="20"/>
                <w:lang w:val="en-GB"/>
              </w:rPr>
            </w:pPr>
            <w:r w:rsidRPr="008E44B9">
              <w:rPr>
                <w:rFonts w:ascii="Gudea" w:hAnsi="Gudea"/>
                <w:b/>
                <w:bCs/>
                <w:color w:val="162D4C"/>
                <w:sz w:val="20"/>
                <w:lang w:val="en-GB"/>
              </w:rPr>
              <w:t xml:space="preserve">3.5.2. The Committee recommends </w:t>
            </w:r>
            <w:r w:rsidRPr="008E44B9">
              <w:rPr>
                <w:rFonts w:ascii="Gudea" w:hAnsi="Gudea"/>
                <w:color w:val="162D4C"/>
                <w:sz w:val="20"/>
                <w:lang w:val="en-GB"/>
              </w:rPr>
              <w:t>that the entire board of directors discusses the result of the evaluation of the board of directors and that the procedure for the evaluation and the general conclusions of the evaluation are described in the management commentary, on the company’s website and at the company’s general meeting.</w:t>
            </w:r>
          </w:p>
        </w:tc>
        <w:tc>
          <w:tcPr>
            <w:tcW w:w="2835" w:type="dxa"/>
            <w:vAlign w:val="center"/>
          </w:tcPr>
          <w:p w14:paraId="3DF517EE" w14:textId="77777777" w:rsidR="000D430C" w:rsidRPr="00D01827" w:rsidRDefault="000D430C" w:rsidP="000D430C">
            <w:pPr>
              <w:jc w:val="both"/>
              <w:rPr>
                <w:rFonts w:ascii="Gudea" w:hAnsi="Gudea"/>
                <w:sz w:val="20"/>
                <w:lang w:val="en-GB"/>
              </w:rPr>
            </w:pPr>
          </w:p>
        </w:tc>
        <w:tc>
          <w:tcPr>
            <w:tcW w:w="2835" w:type="dxa"/>
            <w:tcBorders>
              <w:right w:val="single" w:sz="4" w:space="0" w:color="auto"/>
            </w:tcBorders>
            <w:vAlign w:val="center"/>
          </w:tcPr>
          <w:p w14:paraId="7EA3CC90" w14:textId="77777777" w:rsidR="000D430C" w:rsidRPr="00D01827" w:rsidRDefault="000D430C" w:rsidP="000D430C">
            <w:pPr>
              <w:jc w:val="both"/>
              <w:rPr>
                <w:rFonts w:ascii="Gudea" w:hAnsi="Gudea"/>
                <w:sz w:val="20"/>
                <w:lang w:val="en-GB"/>
              </w:rPr>
            </w:pPr>
          </w:p>
        </w:tc>
        <w:tc>
          <w:tcPr>
            <w:tcW w:w="2835" w:type="dxa"/>
            <w:tcBorders>
              <w:left w:val="single" w:sz="4" w:space="0" w:color="auto"/>
            </w:tcBorders>
            <w:vAlign w:val="center"/>
          </w:tcPr>
          <w:p w14:paraId="6CEBBEF9" w14:textId="77777777" w:rsidR="000D430C" w:rsidRPr="00D01827" w:rsidRDefault="000D430C" w:rsidP="000D430C">
            <w:pPr>
              <w:jc w:val="both"/>
              <w:rPr>
                <w:rFonts w:ascii="Gudea" w:hAnsi="Gudea"/>
                <w:sz w:val="20"/>
                <w:lang w:val="en-GB"/>
              </w:rPr>
            </w:pPr>
          </w:p>
        </w:tc>
      </w:tr>
      <w:tr w:rsidR="000D430C" w:rsidRPr="00F0467F" w14:paraId="541A220D" w14:textId="77777777" w:rsidTr="007421E6">
        <w:trPr>
          <w:trHeight w:val="20"/>
        </w:trPr>
        <w:tc>
          <w:tcPr>
            <w:tcW w:w="6091" w:type="dxa"/>
            <w:vAlign w:val="center"/>
          </w:tcPr>
          <w:p w14:paraId="30E121DA" w14:textId="24AB3C65" w:rsidR="000D430C" w:rsidRPr="00D01827" w:rsidRDefault="008E44B9" w:rsidP="000D430C">
            <w:pPr>
              <w:spacing w:before="120" w:after="120"/>
              <w:rPr>
                <w:rFonts w:ascii="Gudea" w:hAnsi="Gudea"/>
                <w:color w:val="162D4C"/>
                <w:sz w:val="20"/>
                <w:lang w:val="en-GB"/>
              </w:rPr>
            </w:pPr>
            <w:r w:rsidRPr="008E44B9">
              <w:rPr>
                <w:rFonts w:ascii="Gudea" w:hAnsi="Gudea"/>
                <w:b/>
                <w:bCs/>
                <w:color w:val="162D4C"/>
                <w:sz w:val="20"/>
                <w:lang w:val="en-GB"/>
              </w:rPr>
              <w:lastRenderedPageBreak/>
              <w:t xml:space="preserve">3.5.3. The Committee recommends </w:t>
            </w:r>
            <w:r w:rsidRPr="008E44B9">
              <w:rPr>
                <w:rFonts w:ascii="Gudea" w:hAnsi="Gudea"/>
                <w:color w:val="162D4C"/>
                <w:sz w:val="20"/>
                <w:lang w:val="en-GB"/>
              </w:rPr>
              <w:t>that the board of directors at least once a year evaluates the work and results of the executive management according to pre-established criteria, and that the chairperson reviews the evaluation together with the executive management. In addition, the board of directors should on a continuous basis assess the need for changes in the structure and composition of the executive management, including in respect of diversity, succession planning and risks, in light of the company’s strategy.</w:t>
            </w:r>
          </w:p>
        </w:tc>
        <w:tc>
          <w:tcPr>
            <w:tcW w:w="2835" w:type="dxa"/>
            <w:vAlign w:val="center"/>
          </w:tcPr>
          <w:p w14:paraId="47DC71DA" w14:textId="77777777" w:rsidR="000D430C" w:rsidRPr="00D01827" w:rsidRDefault="000D430C" w:rsidP="000D430C">
            <w:pPr>
              <w:jc w:val="both"/>
              <w:rPr>
                <w:rFonts w:ascii="Gudea" w:hAnsi="Gudea"/>
                <w:sz w:val="20"/>
                <w:lang w:val="en-GB"/>
              </w:rPr>
            </w:pPr>
          </w:p>
        </w:tc>
        <w:tc>
          <w:tcPr>
            <w:tcW w:w="2835" w:type="dxa"/>
            <w:tcBorders>
              <w:right w:val="single" w:sz="4" w:space="0" w:color="auto"/>
            </w:tcBorders>
            <w:vAlign w:val="center"/>
          </w:tcPr>
          <w:p w14:paraId="6F0880E0" w14:textId="77777777" w:rsidR="000D430C" w:rsidRPr="00D01827" w:rsidRDefault="000D430C" w:rsidP="000D430C">
            <w:pPr>
              <w:jc w:val="both"/>
              <w:rPr>
                <w:rFonts w:ascii="Gudea" w:hAnsi="Gudea"/>
                <w:sz w:val="20"/>
                <w:lang w:val="en-GB"/>
              </w:rPr>
            </w:pPr>
          </w:p>
        </w:tc>
        <w:tc>
          <w:tcPr>
            <w:tcW w:w="2835" w:type="dxa"/>
            <w:tcBorders>
              <w:left w:val="single" w:sz="4" w:space="0" w:color="auto"/>
            </w:tcBorders>
            <w:vAlign w:val="center"/>
          </w:tcPr>
          <w:p w14:paraId="3444F28F" w14:textId="77777777" w:rsidR="000D430C" w:rsidRPr="00D01827" w:rsidRDefault="000D430C" w:rsidP="000D430C">
            <w:pPr>
              <w:jc w:val="both"/>
              <w:rPr>
                <w:rFonts w:ascii="Gudea" w:hAnsi="Gudea"/>
                <w:sz w:val="20"/>
                <w:lang w:val="en-GB"/>
              </w:rPr>
            </w:pPr>
          </w:p>
        </w:tc>
      </w:tr>
      <w:tr w:rsidR="000D430C" w:rsidRPr="009618E9" w14:paraId="4029AC79" w14:textId="77777777" w:rsidTr="003C7816">
        <w:trPr>
          <w:trHeight w:val="410"/>
        </w:trPr>
        <w:tc>
          <w:tcPr>
            <w:tcW w:w="14596" w:type="dxa"/>
            <w:gridSpan w:val="4"/>
            <w:tcBorders>
              <w:top w:val="nil"/>
              <w:bottom w:val="nil"/>
              <w:right w:val="nil"/>
            </w:tcBorders>
            <w:shd w:val="clear" w:color="auto" w:fill="162D4C"/>
            <w:vAlign w:val="center"/>
          </w:tcPr>
          <w:p w14:paraId="31525F95" w14:textId="07C97C0C" w:rsidR="000D430C" w:rsidRPr="00D01827" w:rsidRDefault="000D430C" w:rsidP="000D430C">
            <w:pPr>
              <w:spacing w:before="120" w:after="240"/>
              <w:jc w:val="both"/>
              <w:rPr>
                <w:rFonts w:ascii="Gudea" w:eastAsia="Gulim" w:hAnsi="Gudea"/>
                <w:b/>
                <w:color w:val="FFFFFF" w:themeColor="background1"/>
                <w:sz w:val="22"/>
                <w:lang w:val="en-GB"/>
              </w:rPr>
            </w:pPr>
            <w:r w:rsidRPr="00D01827">
              <w:rPr>
                <w:rFonts w:ascii="Gudea" w:hAnsi="Gudea"/>
                <w:b/>
                <w:bCs/>
                <w:color w:val="CC9764"/>
                <w:szCs w:val="24"/>
                <w:lang w:val="en-GB"/>
              </w:rPr>
              <w:t>4. Remuneration of management</w:t>
            </w:r>
          </w:p>
        </w:tc>
      </w:tr>
      <w:tr w:rsidR="000D430C" w:rsidRPr="00F0467F" w14:paraId="68B1113E" w14:textId="77777777" w:rsidTr="003C7816">
        <w:trPr>
          <w:trHeight w:val="410"/>
        </w:trPr>
        <w:tc>
          <w:tcPr>
            <w:tcW w:w="14596" w:type="dxa"/>
            <w:gridSpan w:val="4"/>
            <w:tcBorders>
              <w:top w:val="nil"/>
              <w:bottom w:val="nil"/>
              <w:right w:val="nil"/>
            </w:tcBorders>
            <w:shd w:val="clear" w:color="auto" w:fill="162D4C"/>
            <w:vAlign w:val="center"/>
          </w:tcPr>
          <w:p w14:paraId="4E067486" w14:textId="7788083B" w:rsidR="000D430C" w:rsidRPr="00D01827" w:rsidRDefault="000D430C" w:rsidP="000D430C">
            <w:pPr>
              <w:spacing w:before="120" w:after="120"/>
              <w:jc w:val="both"/>
              <w:rPr>
                <w:rFonts w:ascii="Gudea" w:hAnsi="Gudea"/>
                <w:b/>
                <w:color w:val="FFFFFF" w:themeColor="background1"/>
                <w:sz w:val="22"/>
                <w:lang w:val="en-GB"/>
              </w:rPr>
            </w:pPr>
            <w:bookmarkStart w:id="16" w:name="_Hlk33539084"/>
            <w:r w:rsidRPr="00D01827">
              <w:rPr>
                <w:rFonts w:ascii="Gudea" w:hAnsi="Gudea"/>
                <w:b/>
                <w:color w:val="FFFFFF" w:themeColor="background1"/>
                <w:sz w:val="22"/>
                <w:lang w:val="en-GB"/>
              </w:rPr>
              <w:t xml:space="preserve">4.1. </w:t>
            </w:r>
            <w:bookmarkStart w:id="17" w:name="_Toc55995716"/>
            <w:r w:rsidRPr="00D01827">
              <w:rPr>
                <w:rFonts w:ascii="Gudea" w:hAnsi="Gudea"/>
                <w:b/>
                <w:color w:val="FFFFFF" w:themeColor="background1"/>
                <w:sz w:val="22"/>
                <w:lang w:val="en-GB"/>
              </w:rPr>
              <w:t>Remuneration of the board of directors and the executive management</w:t>
            </w:r>
            <w:bookmarkEnd w:id="17"/>
          </w:p>
        </w:tc>
      </w:tr>
      <w:bookmarkEnd w:id="16"/>
      <w:tr w:rsidR="000D430C" w:rsidRPr="00F0467F" w14:paraId="6AFFC279" w14:textId="77777777" w:rsidTr="007421E6">
        <w:trPr>
          <w:trHeight w:val="20"/>
        </w:trPr>
        <w:tc>
          <w:tcPr>
            <w:tcW w:w="6091" w:type="dxa"/>
            <w:vAlign w:val="center"/>
          </w:tcPr>
          <w:p w14:paraId="5F7F54DF" w14:textId="69C2DF3A" w:rsidR="000D430C" w:rsidRPr="00D01827" w:rsidRDefault="00080A37" w:rsidP="000D430C">
            <w:pPr>
              <w:spacing w:before="120" w:after="120"/>
              <w:rPr>
                <w:rFonts w:ascii="Gudea" w:hAnsi="Gudea"/>
                <w:color w:val="162D4C"/>
                <w:sz w:val="20"/>
                <w:lang w:val="en-GB"/>
              </w:rPr>
            </w:pPr>
            <w:r w:rsidRPr="00080A37">
              <w:rPr>
                <w:rFonts w:ascii="Gudea" w:hAnsi="Gudea"/>
                <w:b/>
                <w:bCs/>
                <w:color w:val="162D4C"/>
                <w:sz w:val="20"/>
                <w:lang w:val="en-GB"/>
              </w:rPr>
              <w:t xml:space="preserve">4.1.1. The Committee recommends </w:t>
            </w:r>
            <w:r w:rsidRPr="00080A37">
              <w:rPr>
                <w:rFonts w:ascii="Gudea" w:hAnsi="Gudea"/>
                <w:color w:val="162D4C"/>
                <w:sz w:val="20"/>
                <w:lang w:val="en-GB"/>
              </w:rPr>
              <w:t>that the remuneration for the board of directors and the executive management and the other terms of employment/service is considered competitive and consistent with the company's long-term shareholder interests.</w:t>
            </w:r>
          </w:p>
        </w:tc>
        <w:tc>
          <w:tcPr>
            <w:tcW w:w="2835" w:type="dxa"/>
            <w:vAlign w:val="center"/>
          </w:tcPr>
          <w:p w14:paraId="32E7E46D" w14:textId="77777777" w:rsidR="000D430C" w:rsidRPr="00D01827" w:rsidRDefault="000D430C" w:rsidP="000D430C">
            <w:pPr>
              <w:jc w:val="both"/>
              <w:rPr>
                <w:rFonts w:ascii="Gudea" w:hAnsi="Gudea"/>
                <w:sz w:val="20"/>
                <w:lang w:val="en-GB"/>
              </w:rPr>
            </w:pPr>
          </w:p>
        </w:tc>
        <w:tc>
          <w:tcPr>
            <w:tcW w:w="2835" w:type="dxa"/>
            <w:tcBorders>
              <w:right w:val="single" w:sz="4" w:space="0" w:color="auto"/>
            </w:tcBorders>
            <w:vAlign w:val="center"/>
          </w:tcPr>
          <w:p w14:paraId="0532F547" w14:textId="77777777" w:rsidR="000D430C" w:rsidRPr="00D01827" w:rsidRDefault="000D430C" w:rsidP="000D430C">
            <w:pPr>
              <w:jc w:val="both"/>
              <w:rPr>
                <w:rFonts w:ascii="Gudea" w:hAnsi="Gudea"/>
                <w:sz w:val="20"/>
                <w:lang w:val="en-GB"/>
              </w:rPr>
            </w:pPr>
          </w:p>
        </w:tc>
        <w:tc>
          <w:tcPr>
            <w:tcW w:w="2835" w:type="dxa"/>
            <w:tcBorders>
              <w:left w:val="single" w:sz="4" w:space="0" w:color="auto"/>
            </w:tcBorders>
            <w:vAlign w:val="center"/>
          </w:tcPr>
          <w:p w14:paraId="0EF869CE" w14:textId="77777777" w:rsidR="000D430C" w:rsidRPr="00D01827" w:rsidRDefault="000D430C" w:rsidP="000D430C">
            <w:pPr>
              <w:jc w:val="both"/>
              <w:rPr>
                <w:rFonts w:ascii="Gudea" w:hAnsi="Gudea"/>
                <w:sz w:val="20"/>
                <w:lang w:val="en-GB"/>
              </w:rPr>
            </w:pPr>
          </w:p>
        </w:tc>
      </w:tr>
      <w:tr w:rsidR="000D430C" w:rsidRPr="00F0467F" w14:paraId="3672306A" w14:textId="77777777" w:rsidTr="007421E6">
        <w:trPr>
          <w:trHeight w:val="20"/>
        </w:trPr>
        <w:tc>
          <w:tcPr>
            <w:tcW w:w="6091" w:type="dxa"/>
            <w:vAlign w:val="center"/>
          </w:tcPr>
          <w:p w14:paraId="53909DDC" w14:textId="4612CDCE" w:rsidR="000D430C" w:rsidRPr="00D01827" w:rsidRDefault="00080A37" w:rsidP="000D430C">
            <w:pPr>
              <w:spacing w:before="120" w:after="120"/>
              <w:rPr>
                <w:rFonts w:ascii="Gudea" w:hAnsi="Gudea"/>
                <w:color w:val="162D4C"/>
                <w:sz w:val="20"/>
                <w:lang w:val="en-GB"/>
              </w:rPr>
            </w:pPr>
            <w:r w:rsidRPr="00080A37">
              <w:rPr>
                <w:rFonts w:ascii="Gudea" w:hAnsi="Gudea"/>
                <w:b/>
                <w:bCs/>
                <w:color w:val="162D4C"/>
                <w:sz w:val="20"/>
                <w:lang w:val="en-GB"/>
              </w:rPr>
              <w:t>4.1.2. The Committee recommends</w:t>
            </w:r>
            <w:r w:rsidRPr="00080A37">
              <w:rPr>
                <w:rFonts w:ascii="Gudea" w:hAnsi="Gudea"/>
                <w:color w:val="162D4C"/>
                <w:sz w:val="20"/>
                <w:lang w:val="en-GB"/>
              </w:rPr>
              <w:t xml:space="preserve"> that share-based incentive schemes are revolving, i.e. that they are periodically granted, and that they primarily consist of long-term schemes with a vesting or maturity period of at least three years.</w:t>
            </w:r>
          </w:p>
        </w:tc>
        <w:tc>
          <w:tcPr>
            <w:tcW w:w="2835" w:type="dxa"/>
            <w:vAlign w:val="center"/>
          </w:tcPr>
          <w:p w14:paraId="6E04E938" w14:textId="77777777" w:rsidR="000D430C" w:rsidRPr="00D01827" w:rsidRDefault="000D430C" w:rsidP="000D430C">
            <w:pPr>
              <w:spacing w:before="120" w:after="120"/>
              <w:jc w:val="both"/>
              <w:rPr>
                <w:rFonts w:ascii="Gudea" w:hAnsi="Gudea"/>
                <w:sz w:val="20"/>
                <w:lang w:val="en-GB"/>
              </w:rPr>
            </w:pPr>
          </w:p>
        </w:tc>
        <w:tc>
          <w:tcPr>
            <w:tcW w:w="2835" w:type="dxa"/>
            <w:tcBorders>
              <w:right w:val="single" w:sz="4" w:space="0" w:color="auto"/>
            </w:tcBorders>
            <w:vAlign w:val="center"/>
          </w:tcPr>
          <w:p w14:paraId="4D74038D" w14:textId="77777777" w:rsidR="000D430C" w:rsidRPr="00D01827" w:rsidRDefault="000D430C" w:rsidP="000D430C">
            <w:pPr>
              <w:spacing w:before="120" w:after="120"/>
              <w:jc w:val="both"/>
              <w:rPr>
                <w:rFonts w:ascii="Gudea" w:hAnsi="Gudea"/>
                <w:sz w:val="20"/>
                <w:lang w:val="en-GB"/>
              </w:rPr>
            </w:pPr>
          </w:p>
        </w:tc>
        <w:tc>
          <w:tcPr>
            <w:tcW w:w="2835" w:type="dxa"/>
            <w:tcBorders>
              <w:left w:val="single" w:sz="4" w:space="0" w:color="auto"/>
            </w:tcBorders>
            <w:vAlign w:val="center"/>
          </w:tcPr>
          <w:p w14:paraId="76B91BF3" w14:textId="77777777" w:rsidR="000D430C" w:rsidRPr="00D01827" w:rsidRDefault="000D430C" w:rsidP="000D430C">
            <w:pPr>
              <w:spacing w:before="120" w:after="120"/>
              <w:jc w:val="both"/>
              <w:rPr>
                <w:rFonts w:ascii="Gudea" w:hAnsi="Gudea"/>
                <w:sz w:val="20"/>
                <w:lang w:val="en-GB"/>
              </w:rPr>
            </w:pPr>
          </w:p>
        </w:tc>
      </w:tr>
      <w:tr w:rsidR="000D430C" w:rsidRPr="00F0467F" w14:paraId="583DAC71" w14:textId="77777777" w:rsidTr="007421E6">
        <w:trPr>
          <w:trHeight w:val="20"/>
        </w:trPr>
        <w:tc>
          <w:tcPr>
            <w:tcW w:w="6091" w:type="dxa"/>
            <w:vAlign w:val="center"/>
          </w:tcPr>
          <w:p w14:paraId="79279B92" w14:textId="2C8B5798" w:rsidR="000D430C" w:rsidRPr="00D01827" w:rsidRDefault="00080A37" w:rsidP="000D430C">
            <w:pPr>
              <w:spacing w:before="120" w:after="120"/>
              <w:rPr>
                <w:rFonts w:ascii="Gudea" w:hAnsi="Gudea"/>
                <w:color w:val="162D4C"/>
                <w:sz w:val="20"/>
                <w:lang w:val="en-GB"/>
              </w:rPr>
            </w:pPr>
            <w:r w:rsidRPr="00080A37">
              <w:rPr>
                <w:rFonts w:ascii="Gudea" w:hAnsi="Gudea"/>
                <w:b/>
                <w:bCs/>
                <w:color w:val="162D4C"/>
                <w:sz w:val="20"/>
                <w:lang w:val="en-GB"/>
              </w:rPr>
              <w:t>4.1.3. The Committee recommends</w:t>
            </w:r>
            <w:r w:rsidRPr="00080A37">
              <w:rPr>
                <w:rFonts w:ascii="Gudea" w:hAnsi="Gudea"/>
                <w:color w:val="162D4C"/>
                <w:sz w:val="20"/>
                <w:lang w:val="en-GB"/>
              </w:rPr>
              <w:t xml:space="preserve"> that the variable part of the remuneration has a cap at the time of grant, and that there is transparency in respect of the potential value at the time of exercise under pessimistic, expected and optimistic scenarios.</w:t>
            </w:r>
          </w:p>
        </w:tc>
        <w:tc>
          <w:tcPr>
            <w:tcW w:w="2835" w:type="dxa"/>
            <w:vAlign w:val="center"/>
          </w:tcPr>
          <w:p w14:paraId="7F882453" w14:textId="77777777" w:rsidR="000D430C" w:rsidRPr="00D01827" w:rsidRDefault="000D430C" w:rsidP="000D430C">
            <w:pPr>
              <w:spacing w:before="120" w:after="120"/>
              <w:jc w:val="both"/>
              <w:rPr>
                <w:rFonts w:ascii="Gudea" w:hAnsi="Gudea"/>
                <w:sz w:val="20"/>
                <w:lang w:val="en-GB"/>
              </w:rPr>
            </w:pPr>
          </w:p>
        </w:tc>
        <w:tc>
          <w:tcPr>
            <w:tcW w:w="2835" w:type="dxa"/>
            <w:tcBorders>
              <w:right w:val="single" w:sz="4" w:space="0" w:color="auto"/>
            </w:tcBorders>
            <w:vAlign w:val="center"/>
          </w:tcPr>
          <w:p w14:paraId="24E680C3" w14:textId="77777777" w:rsidR="000D430C" w:rsidRPr="00D01827" w:rsidRDefault="000D430C" w:rsidP="000D430C">
            <w:pPr>
              <w:spacing w:before="120" w:after="120"/>
              <w:jc w:val="both"/>
              <w:rPr>
                <w:rFonts w:ascii="Gudea" w:hAnsi="Gudea"/>
                <w:sz w:val="20"/>
                <w:lang w:val="en-GB"/>
              </w:rPr>
            </w:pPr>
          </w:p>
        </w:tc>
        <w:tc>
          <w:tcPr>
            <w:tcW w:w="2835" w:type="dxa"/>
            <w:tcBorders>
              <w:left w:val="single" w:sz="4" w:space="0" w:color="auto"/>
            </w:tcBorders>
            <w:vAlign w:val="center"/>
          </w:tcPr>
          <w:p w14:paraId="39E66F04" w14:textId="77777777" w:rsidR="000D430C" w:rsidRPr="00D01827" w:rsidRDefault="000D430C" w:rsidP="000D430C">
            <w:pPr>
              <w:spacing w:before="120" w:after="120"/>
              <w:jc w:val="both"/>
              <w:rPr>
                <w:rFonts w:ascii="Gudea" w:hAnsi="Gudea"/>
                <w:sz w:val="20"/>
                <w:lang w:val="en-GB"/>
              </w:rPr>
            </w:pPr>
          </w:p>
        </w:tc>
      </w:tr>
      <w:tr w:rsidR="000D430C" w:rsidRPr="00F0467F" w14:paraId="0558EA98" w14:textId="77777777" w:rsidTr="007421E6">
        <w:trPr>
          <w:trHeight w:val="20"/>
        </w:trPr>
        <w:tc>
          <w:tcPr>
            <w:tcW w:w="6091" w:type="dxa"/>
            <w:vAlign w:val="center"/>
          </w:tcPr>
          <w:p w14:paraId="7C66E1F5" w14:textId="68E203DF" w:rsidR="000D430C" w:rsidRPr="00D01827" w:rsidRDefault="00080A37" w:rsidP="000D430C">
            <w:pPr>
              <w:spacing w:before="120" w:after="120"/>
              <w:rPr>
                <w:rFonts w:ascii="Gudea" w:hAnsi="Gudea"/>
                <w:color w:val="162D4C"/>
                <w:sz w:val="20"/>
                <w:lang w:val="en-GB"/>
              </w:rPr>
            </w:pPr>
            <w:r w:rsidRPr="00080A37">
              <w:rPr>
                <w:rFonts w:ascii="Gudea" w:hAnsi="Gudea"/>
                <w:b/>
                <w:bCs/>
                <w:color w:val="162D4C"/>
                <w:sz w:val="20"/>
                <w:lang w:val="en-GB"/>
              </w:rPr>
              <w:lastRenderedPageBreak/>
              <w:t>4.1.4. The Committee recommends</w:t>
            </w:r>
            <w:r w:rsidRPr="00080A37">
              <w:rPr>
                <w:rFonts w:ascii="Gudea" w:hAnsi="Gudea"/>
                <w:color w:val="162D4C"/>
                <w:sz w:val="20"/>
                <w:lang w:val="en-GB"/>
              </w:rPr>
              <w:t xml:space="preserve"> that the overall value of the remuneration for the notice period, including severance payment, in connection with a member of the executive management’s departure, does not exceed two years’ remuneration including all remuneration elements.</w:t>
            </w:r>
          </w:p>
        </w:tc>
        <w:tc>
          <w:tcPr>
            <w:tcW w:w="2835" w:type="dxa"/>
            <w:vAlign w:val="center"/>
          </w:tcPr>
          <w:p w14:paraId="11F77389" w14:textId="77777777" w:rsidR="000D430C" w:rsidRPr="00D01827" w:rsidRDefault="000D430C" w:rsidP="000D430C">
            <w:pPr>
              <w:spacing w:before="120" w:after="120"/>
              <w:jc w:val="both"/>
              <w:rPr>
                <w:rFonts w:ascii="Gudea" w:hAnsi="Gudea"/>
                <w:sz w:val="20"/>
                <w:lang w:val="en-GB"/>
              </w:rPr>
            </w:pPr>
          </w:p>
        </w:tc>
        <w:tc>
          <w:tcPr>
            <w:tcW w:w="2835" w:type="dxa"/>
            <w:tcBorders>
              <w:right w:val="single" w:sz="4" w:space="0" w:color="auto"/>
            </w:tcBorders>
            <w:vAlign w:val="center"/>
          </w:tcPr>
          <w:p w14:paraId="5D18083D" w14:textId="77777777" w:rsidR="000D430C" w:rsidRPr="00D01827" w:rsidRDefault="000D430C" w:rsidP="000D430C">
            <w:pPr>
              <w:spacing w:before="120" w:after="120"/>
              <w:jc w:val="both"/>
              <w:rPr>
                <w:rFonts w:ascii="Gudea" w:hAnsi="Gudea"/>
                <w:sz w:val="20"/>
                <w:lang w:val="en-GB"/>
              </w:rPr>
            </w:pPr>
          </w:p>
        </w:tc>
        <w:tc>
          <w:tcPr>
            <w:tcW w:w="2835" w:type="dxa"/>
            <w:tcBorders>
              <w:left w:val="single" w:sz="4" w:space="0" w:color="auto"/>
            </w:tcBorders>
            <w:vAlign w:val="center"/>
          </w:tcPr>
          <w:p w14:paraId="7E00F236" w14:textId="77777777" w:rsidR="000D430C" w:rsidRPr="00D01827" w:rsidRDefault="000D430C" w:rsidP="000D430C">
            <w:pPr>
              <w:spacing w:before="120" w:after="120"/>
              <w:jc w:val="both"/>
              <w:rPr>
                <w:rFonts w:ascii="Gudea" w:hAnsi="Gudea"/>
                <w:sz w:val="20"/>
                <w:lang w:val="en-GB"/>
              </w:rPr>
            </w:pPr>
          </w:p>
        </w:tc>
      </w:tr>
      <w:tr w:rsidR="000D430C" w:rsidRPr="00F0467F" w14:paraId="7CDDAB29" w14:textId="77777777" w:rsidTr="007421E6">
        <w:trPr>
          <w:trHeight w:val="20"/>
        </w:trPr>
        <w:tc>
          <w:tcPr>
            <w:tcW w:w="6091" w:type="dxa"/>
            <w:vAlign w:val="center"/>
          </w:tcPr>
          <w:p w14:paraId="75D93B9E" w14:textId="460F8454" w:rsidR="000D430C" w:rsidRPr="00477EC7" w:rsidRDefault="00080A37" w:rsidP="000D430C">
            <w:pPr>
              <w:spacing w:before="120" w:after="120"/>
              <w:rPr>
                <w:rFonts w:ascii="Gudea" w:hAnsi="Gudea"/>
                <w:color w:val="162D4C"/>
                <w:sz w:val="20"/>
                <w:lang w:val="en-US"/>
              </w:rPr>
            </w:pPr>
            <w:r w:rsidRPr="00080A37">
              <w:rPr>
                <w:rFonts w:ascii="Gudea" w:hAnsi="Gudea"/>
                <w:b/>
                <w:bCs/>
                <w:color w:val="162D4C"/>
                <w:sz w:val="20"/>
                <w:lang w:val="en-US"/>
              </w:rPr>
              <w:t xml:space="preserve">4.1.5. The Committee recommends </w:t>
            </w:r>
            <w:r w:rsidRPr="00080A37">
              <w:rPr>
                <w:rFonts w:ascii="Gudea" w:hAnsi="Gudea"/>
                <w:color w:val="162D4C"/>
                <w:sz w:val="20"/>
                <w:lang w:val="en-US"/>
              </w:rPr>
              <w:t>that members of the board of directors are not remunerated with share options and warrants.</w:t>
            </w:r>
          </w:p>
        </w:tc>
        <w:tc>
          <w:tcPr>
            <w:tcW w:w="2835" w:type="dxa"/>
            <w:vAlign w:val="center"/>
          </w:tcPr>
          <w:p w14:paraId="29D12153" w14:textId="77777777" w:rsidR="000D430C" w:rsidRPr="00477EC7" w:rsidRDefault="000D430C" w:rsidP="000D430C">
            <w:pPr>
              <w:spacing w:before="120" w:after="120"/>
              <w:jc w:val="both"/>
              <w:rPr>
                <w:rFonts w:ascii="Gudea" w:hAnsi="Gudea"/>
                <w:sz w:val="20"/>
                <w:lang w:val="en-US"/>
              </w:rPr>
            </w:pPr>
          </w:p>
        </w:tc>
        <w:tc>
          <w:tcPr>
            <w:tcW w:w="2835" w:type="dxa"/>
            <w:tcBorders>
              <w:right w:val="single" w:sz="4" w:space="0" w:color="auto"/>
            </w:tcBorders>
            <w:vAlign w:val="center"/>
          </w:tcPr>
          <w:p w14:paraId="56F8299E" w14:textId="77777777" w:rsidR="000D430C" w:rsidRPr="00477EC7" w:rsidRDefault="000D430C" w:rsidP="000D430C">
            <w:pPr>
              <w:spacing w:before="120" w:after="120"/>
              <w:jc w:val="both"/>
              <w:rPr>
                <w:rFonts w:ascii="Gudea" w:hAnsi="Gudea"/>
                <w:sz w:val="20"/>
                <w:lang w:val="en-US"/>
              </w:rPr>
            </w:pPr>
          </w:p>
        </w:tc>
        <w:tc>
          <w:tcPr>
            <w:tcW w:w="2835" w:type="dxa"/>
            <w:tcBorders>
              <w:left w:val="single" w:sz="4" w:space="0" w:color="auto"/>
            </w:tcBorders>
            <w:vAlign w:val="center"/>
          </w:tcPr>
          <w:p w14:paraId="096182A5" w14:textId="77777777" w:rsidR="000D430C" w:rsidRPr="00477EC7" w:rsidRDefault="000D430C" w:rsidP="000D430C">
            <w:pPr>
              <w:spacing w:before="120" w:after="120"/>
              <w:jc w:val="both"/>
              <w:rPr>
                <w:rFonts w:ascii="Gudea" w:hAnsi="Gudea"/>
                <w:sz w:val="20"/>
                <w:lang w:val="en-US"/>
              </w:rPr>
            </w:pPr>
          </w:p>
        </w:tc>
      </w:tr>
      <w:tr w:rsidR="000D430C" w:rsidRPr="00F0467F" w14:paraId="3FE70BB7" w14:textId="77777777" w:rsidTr="007421E6">
        <w:trPr>
          <w:trHeight w:val="20"/>
        </w:trPr>
        <w:tc>
          <w:tcPr>
            <w:tcW w:w="6091" w:type="dxa"/>
            <w:vAlign w:val="center"/>
          </w:tcPr>
          <w:p w14:paraId="2A8B49AC" w14:textId="5A4051D1" w:rsidR="000D430C" w:rsidRPr="00D01827" w:rsidRDefault="00080A37" w:rsidP="000D430C">
            <w:pPr>
              <w:spacing w:before="120" w:after="120"/>
              <w:rPr>
                <w:rFonts w:ascii="Gudea" w:hAnsi="Gudea"/>
                <w:b/>
                <w:bCs/>
                <w:color w:val="162D4C"/>
                <w:sz w:val="20"/>
                <w:lang w:val="en-GB"/>
              </w:rPr>
            </w:pPr>
            <w:r w:rsidRPr="00080A37">
              <w:rPr>
                <w:rFonts w:ascii="Gudea" w:hAnsi="Gudea"/>
                <w:b/>
                <w:bCs/>
                <w:color w:val="162D4C"/>
                <w:sz w:val="20"/>
                <w:lang w:val="en-GB"/>
              </w:rPr>
              <w:t xml:space="preserve">4.1.6. The Committee recommends </w:t>
            </w:r>
            <w:r w:rsidRPr="00080A37">
              <w:rPr>
                <w:rFonts w:ascii="Gudea" w:hAnsi="Gudea"/>
                <w:color w:val="162D4C"/>
                <w:sz w:val="20"/>
                <w:lang w:val="en-GB"/>
              </w:rPr>
              <w:t>that the company has the option to reclaim, in whole or in part, variable remuneration from the board of directors and the executive management if the remuneration granted, earned or paid was based on information, which subsequently proves to be incorrect, or if the recipient acted in bad faith in respect of other matters, which implied payment of a too large variable remuneration.</w:t>
            </w:r>
          </w:p>
        </w:tc>
        <w:tc>
          <w:tcPr>
            <w:tcW w:w="2835" w:type="dxa"/>
            <w:vAlign w:val="center"/>
          </w:tcPr>
          <w:p w14:paraId="3C960CBF" w14:textId="77777777" w:rsidR="000D430C" w:rsidRPr="00D01827" w:rsidRDefault="000D430C" w:rsidP="000D430C">
            <w:pPr>
              <w:spacing w:before="120" w:after="120"/>
              <w:jc w:val="both"/>
              <w:rPr>
                <w:rFonts w:ascii="Gudea" w:hAnsi="Gudea"/>
                <w:sz w:val="20"/>
                <w:lang w:val="en-GB"/>
              </w:rPr>
            </w:pPr>
          </w:p>
        </w:tc>
        <w:tc>
          <w:tcPr>
            <w:tcW w:w="2835" w:type="dxa"/>
            <w:tcBorders>
              <w:right w:val="single" w:sz="4" w:space="0" w:color="auto"/>
            </w:tcBorders>
            <w:vAlign w:val="center"/>
          </w:tcPr>
          <w:p w14:paraId="6373DD3E" w14:textId="77777777" w:rsidR="000D430C" w:rsidRPr="00D01827" w:rsidRDefault="000D430C" w:rsidP="000D430C">
            <w:pPr>
              <w:spacing w:before="120" w:after="120"/>
              <w:jc w:val="both"/>
              <w:rPr>
                <w:rFonts w:ascii="Gudea" w:hAnsi="Gudea"/>
                <w:sz w:val="20"/>
                <w:lang w:val="en-GB"/>
              </w:rPr>
            </w:pPr>
          </w:p>
        </w:tc>
        <w:tc>
          <w:tcPr>
            <w:tcW w:w="2835" w:type="dxa"/>
            <w:tcBorders>
              <w:left w:val="single" w:sz="4" w:space="0" w:color="auto"/>
            </w:tcBorders>
            <w:vAlign w:val="center"/>
          </w:tcPr>
          <w:p w14:paraId="6EFB75E7" w14:textId="77777777" w:rsidR="000D430C" w:rsidRPr="00D01827" w:rsidRDefault="000D430C" w:rsidP="000D430C">
            <w:pPr>
              <w:spacing w:before="120" w:after="120"/>
              <w:jc w:val="both"/>
              <w:rPr>
                <w:rFonts w:ascii="Gudea" w:hAnsi="Gudea"/>
                <w:sz w:val="20"/>
                <w:lang w:val="en-GB"/>
              </w:rPr>
            </w:pPr>
          </w:p>
        </w:tc>
      </w:tr>
      <w:tr w:rsidR="000D430C" w:rsidRPr="009618E9" w14:paraId="466604A2" w14:textId="77777777" w:rsidTr="003C7816">
        <w:trPr>
          <w:trHeight w:val="410"/>
        </w:trPr>
        <w:tc>
          <w:tcPr>
            <w:tcW w:w="14596" w:type="dxa"/>
            <w:gridSpan w:val="4"/>
            <w:tcBorders>
              <w:top w:val="nil"/>
              <w:bottom w:val="nil"/>
              <w:right w:val="nil"/>
            </w:tcBorders>
            <w:shd w:val="clear" w:color="auto" w:fill="162D4C"/>
            <w:vAlign w:val="center"/>
          </w:tcPr>
          <w:p w14:paraId="62112284" w14:textId="29EB04BA" w:rsidR="000D430C" w:rsidRPr="00D01827" w:rsidRDefault="000D430C" w:rsidP="000D430C">
            <w:pPr>
              <w:spacing w:before="120" w:after="240"/>
              <w:jc w:val="both"/>
              <w:rPr>
                <w:rFonts w:ascii="Gudea" w:hAnsi="Gudea"/>
                <w:b/>
                <w:color w:val="FFFFFF" w:themeColor="background1"/>
                <w:sz w:val="22"/>
                <w:lang w:val="en-GB"/>
              </w:rPr>
            </w:pPr>
            <w:r w:rsidRPr="00D01827">
              <w:rPr>
                <w:rFonts w:ascii="Gudea" w:hAnsi="Gudea"/>
                <w:b/>
                <w:bCs/>
                <w:color w:val="CC9764"/>
                <w:lang w:val="en-GB"/>
              </w:rPr>
              <w:t xml:space="preserve">5. </w:t>
            </w:r>
            <w:r>
              <w:rPr>
                <w:rFonts w:ascii="Gudea" w:hAnsi="Gudea"/>
                <w:b/>
                <w:bCs/>
                <w:color w:val="CC9764"/>
                <w:lang w:val="en-GB"/>
              </w:rPr>
              <w:t>Risk management</w:t>
            </w:r>
          </w:p>
        </w:tc>
      </w:tr>
      <w:tr w:rsidR="000D430C" w:rsidRPr="00F0467F" w14:paraId="244786FB" w14:textId="77777777" w:rsidTr="003C7816">
        <w:trPr>
          <w:trHeight w:val="410"/>
        </w:trPr>
        <w:tc>
          <w:tcPr>
            <w:tcW w:w="14596" w:type="dxa"/>
            <w:gridSpan w:val="4"/>
            <w:tcBorders>
              <w:top w:val="nil"/>
              <w:bottom w:val="nil"/>
              <w:right w:val="nil"/>
            </w:tcBorders>
            <w:shd w:val="clear" w:color="auto" w:fill="162D4C"/>
            <w:vAlign w:val="center"/>
          </w:tcPr>
          <w:p w14:paraId="53D16CCB" w14:textId="382117FB" w:rsidR="000D430C" w:rsidRPr="00D01827" w:rsidRDefault="000D430C" w:rsidP="000D430C">
            <w:pPr>
              <w:spacing w:before="120" w:after="120"/>
              <w:jc w:val="both"/>
              <w:rPr>
                <w:rFonts w:ascii="Gudea" w:hAnsi="Gudea"/>
                <w:b/>
                <w:color w:val="FFFFFF" w:themeColor="background1"/>
                <w:sz w:val="22"/>
                <w:lang w:val="en-GB"/>
              </w:rPr>
            </w:pPr>
            <w:bookmarkStart w:id="18" w:name="_Hlk33539406"/>
            <w:r w:rsidRPr="00D01827">
              <w:rPr>
                <w:rFonts w:ascii="Gudea" w:hAnsi="Gudea"/>
                <w:b/>
                <w:color w:val="FFFFFF" w:themeColor="background1"/>
                <w:sz w:val="22"/>
                <w:lang w:val="en-GB"/>
              </w:rPr>
              <w:t xml:space="preserve">5.1. </w:t>
            </w:r>
            <w:r>
              <w:rPr>
                <w:rFonts w:ascii="Gudea" w:hAnsi="Gudea"/>
                <w:b/>
                <w:color w:val="FFFFFF" w:themeColor="background1"/>
                <w:sz w:val="22"/>
                <w:lang w:val="en-GB"/>
              </w:rPr>
              <w:t>Identification of risks and openness in respect of additional information</w:t>
            </w:r>
          </w:p>
        </w:tc>
      </w:tr>
      <w:tr w:rsidR="000D430C" w:rsidRPr="00F0467F" w14:paraId="7D6FE622" w14:textId="77777777" w:rsidTr="007421E6">
        <w:trPr>
          <w:trHeight w:val="20"/>
        </w:trPr>
        <w:tc>
          <w:tcPr>
            <w:tcW w:w="6091" w:type="dxa"/>
            <w:vAlign w:val="center"/>
          </w:tcPr>
          <w:p w14:paraId="67121FDA" w14:textId="7037EE67" w:rsidR="000D430C" w:rsidRPr="00D01827" w:rsidRDefault="00080A37" w:rsidP="000D430C">
            <w:pPr>
              <w:spacing w:before="120" w:after="120"/>
              <w:rPr>
                <w:rFonts w:ascii="Gudea" w:hAnsi="Gudea"/>
                <w:color w:val="162D4C"/>
                <w:sz w:val="20"/>
                <w:lang w:val="en-GB"/>
              </w:rPr>
            </w:pPr>
            <w:r w:rsidRPr="00080A37">
              <w:rPr>
                <w:rFonts w:ascii="Gudea" w:hAnsi="Gudea"/>
                <w:b/>
                <w:bCs/>
                <w:color w:val="162D4C"/>
                <w:sz w:val="20"/>
                <w:lang w:val="en-GB"/>
              </w:rPr>
              <w:t xml:space="preserve">5.1.1. The Committee recommends </w:t>
            </w:r>
            <w:r w:rsidRPr="00080A37">
              <w:rPr>
                <w:rFonts w:ascii="Gudea" w:hAnsi="Gudea"/>
                <w:color w:val="162D4C"/>
                <w:sz w:val="20"/>
                <w:lang w:val="en-GB"/>
              </w:rPr>
              <w:t>that the board of directors based on the company's strategy and business model considers, for instance, the most significant strategic, business, accounting and liquidity risks. The company should in the management commentary give an account of these risks and the company’s risk management.</w:t>
            </w:r>
          </w:p>
        </w:tc>
        <w:tc>
          <w:tcPr>
            <w:tcW w:w="2835" w:type="dxa"/>
            <w:vAlign w:val="center"/>
          </w:tcPr>
          <w:p w14:paraId="3D5CD1C7" w14:textId="77777777" w:rsidR="000D430C" w:rsidRPr="00D01827" w:rsidRDefault="000D430C" w:rsidP="000D430C">
            <w:pPr>
              <w:spacing w:before="120" w:after="120"/>
              <w:jc w:val="both"/>
              <w:rPr>
                <w:rFonts w:ascii="Gudea" w:hAnsi="Gudea"/>
                <w:sz w:val="20"/>
                <w:lang w:val="en-GB"/>
              </w:rPr>
            </w:pPr>
          </w:p>
        </w:tc>
        <w:tc>
          <w:tcPr>
            <w:tcW w:w="2835" w:type="dxa"/>
            <w:tcBorders>
              <w:right w:val="single" w:sz="4" w:space="0" w:color="auto"/>
            </w:tcBorders>
            <w:vAlign w:val="center"/>
          </w:tcPr>
          <w:p w14:paraId="2CE88221" w14:textId="77777777" w:rsidR="000D430C" w:rsidRPr="00D01827" w:rsidRDefault="000D430C" w:rsidP="000D430C">
            <w:pPr>
              <w:spacing w:before="120" w:after="120"/>
              <w:jc w:val="both"/>
              <w:rPr>
                <w:rFonts w:ascii="Gudea" w:hAnsi="Gudea"/>
                <w:sz w:val="20"/>
                <w:lang w:val="en-GB"/>
              </w:rPr>
            </w:pPr>
          </w:p>
        </w:tc>
        <w:tc>
          <w:tcPr>
            <w:tcW w:w="2835" w:type="dxa"/>
            <w:tcBorders>
              <w:left w:val="single" w:sz="4" w:space="0" w:color="auto"/>
            </w:tcBorders>
            <w:vAlign w:val="center"/>
          </w:tcPr>
          <w:p w14:paraId="6ED506B9" w14:textId="77777777" w:rsidR="000D430C" w:rsidRPr="00D01827" w:rsidRDefault="000D430C" w:rsidP="000D430C">
            <w:pPr>
              <w:spacing w:before="120" w:after="120"/>
              <w:jc w:val="both"/>
              <w:rPr>
                <w:rFonts w:ascii="Gudea" w:hAnsi="Gudea"/>
                <w:sz w:val="20"/>
                <w:lang w:val="en-GB"/>
              </w:rPr>
            </w:pPr>
          </w:p>
        </w:tc>
      </w:tr>
      <w:tr w:rsidR="000D430C" w:rsidRPr="00F0467F" w14:paraId="21643A9D" w14:textId="77777777" w:rsidTr="007421E6">
        <w:trPr>
          <w:trHeight w:val="20"/>
        </w:trPr>
        <w:tc>
          <w:tcPr>
            <w:tcW w:w="6091" w:type="dxa"/>
            <w:vAlign w:val="center"/>
          </w:tcPr>
          <w:p w14:paraId="11857AC5" w14:textId="7407762C" w:rsidR="000D430C" w:rsidRPr="00D01827" w:rsidRDefault="00080A37" w:rsidP="000D430C">
            <w:pPr>
              <w:spacing w:before="120" w:after="120"/>
              <w:rPr>
                <w:rFonts w:ascii="Gudea" w:hAnsi="Gudea"/>
                <w:b/>
                <w:bCs/>
                <w:color w:val="162D4C"/>
                <w:sz w:val="20"/>
                <w:lang w:val="en-GB"/>
              </w:rPr>
            </w:pPr>
            <w:r w:rsidRPr="00080A37">
              <w:rPr>
                <w:rFonts w:ascii="Gudea" w:hAnsi="Gudea"/>
                <w:b/>
                <w:bCs/>
                <w:color w:val="162D4C"/>
                <w:sz w:val="20"/>
                <w:lang w:val="en-GB"/>
              </w:rPr>
              <w:t xml:space="preserve">5.1.2. The Committee recommends </w:t>
            </w:r>
            <w:r w:rsidRPr="00080A37">
              <w:rPr>
                <w:rFonts w:ascii="Gudea" w:hAnsi="Gudea"/>
                <w:color w:val="162D4C"/>
                <w:sz w:val="20"/>
                <w:lang w:val="en-GB"/>
              </w:rPr>
              <w:t xml:space="preserve">that the board of directors establishes a whistleblower scheme, giving the employees and other stakeholders the opportunity to report serious violations or suspicion </w:t>
            </w:r>
            <w:r w:rsidRPr="00080A37">
              <w:rPr>
                <w:rFonts w:ascii="Gudea" w:hAnsi="Gudea"/>
                <w:color w:val="162D4C"/>
                <w:sz w:val="20"/>
                <w:lang w:val="en-GB"/>
              </w:rPr>
              <w:lastRenderedPageBreak/>
              <w:t>thereof in an expedient and confidential manner, and that a procedure is in place for handling such whistleblower cases.</w:t>
            </w:r>
          </w:p>
        </w:tc>
        <w:tc>
          <w:tcPr>
            <w:tcW w:w="2835" w:type="dxa"/>
            <w:vAlign w:val="center"/>
          </w:tcPr>
          <w:p w14:paraId="48C38AF8" w14:textId="77777777" w:rsidR="000D430C" w:rsidRPr="00D01827" w:rsidRDefault="000D430C" w:rsidP="000D430C">
            <w:pPr>
              <w:spacing w:before="120" w:after="120"/>
              <w:jc w:val="both"/>
              <w:rPr>
                <w:rFonts w:ascii="Gudea" w:hAnsi="Gudea"/>
                <w:sz w:val="20"/>
                <w:lang w:val="en-GB"/>
              </w:rPr>
            </w:pPr>
          </w:p>
        </w:tc>
        <w:tc>
          <w:tcPr>
            <w:tcW w:w="2835" w:type="dxa"/>
            <w:tcBorders>
              <w:right w:val="single" w:sz="4" w:space="0" w:color="auto"/>
            </w:tcBorders>
            <w:vAlign w:val="center"/>
          </w:tcPr>
          <w:p w14:paraId="10B716CD" w14:textId="77777777" w:rsidR="000D430C" w:rsidRPr="00D01827" w:rsidRDefault="000D430C" w:rsidP="000D430C">
            <w:pPr>
              <w:spacing w:before="120" w:after="120"/>
              <w:jc w:val="both"/>
              <w:rPr>
                <w:rFonts w:ascii="Gudea" w:hAnsi="Gudea"/>
                <w:sz w:val="20"/>
                <w:lang w:val="en-GB"/>
              </w:rPr>
            </w:pPr>
          </w:p>
        </w:tc>
        <w:tc>
          <w:tcPr>
            <w:tcW w:w="2835" w:type="dxa"/>
            <w:tcBorders>
              <w:left w:val="single" w:sz="4" w:space="0" w:color="auto"/>
            </w:tcBorders>
            <w:vAlign w:val="center"/>
          </w:tcPr>
          <w:p w14:paraId="5AF26D9E" w14:textId="77777777" w:rsidR="000D430C" w:rsidRPr="00D01827" w:rsidRDefault="000D430C" w:rsidP="000D430C">
            <w:pPr>
              <w:spacing w:before="120" w:after="120"/>
              <w:jc w:val="both"/>
              <w:rPr>
                <w:rFonts w:ascii="Gudea" w:hAnsi="Gudea"/>
                <w:sz w:val="20"/>
                <w:lang w:val="en-GB"/>
              </w:rPr>
            </w:pPr>
          </w:p>
        </w:tc>
      </w:tr>
      <w:bookmarkEnd w:id="18"/>
    </w:tbl>
    <w:p w14:paraId="46F481F2" w14:textId="77777777" w:rsidR="0050719D" w:rsidRPr="00D01827" w:rsidRDefault="0050719D" w:rsidP="0027461E">
      <w:pPr>
        <w:jc w:val="both"/>
        <w:rPr>
          <w:rFonts w:ascii="Gudea" w:hAnsi="Gudea"/>
          <w:lang w:val="en-GB"/>
        </w:rPr>
      </w:pPr>
    </w:p>
    <w:sectPr w:rsidR="0050719D" w:rsidRPr="00D01827" w:rsidSect="00BC0B0D">
      <w:pgSz w:w="16840" w:h="11907" w:orient="landscape" w:code="9"/>
      <w:pgMar w:top="1361" w:right="1134" w:bottom="1361" w:left="1134"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445C1" w14:textId="77777777" w:rsidR="008233C1" w:rsidRDefault="008233C1" w:rsidP="00EC76D3">
      <w:r>
        <w:separator/>
      </w:r>
    </w:p>
  </w:endnote>
  <w:endnote w:type="continuationSeparator" w:id="0">
    <w:p w14:paraId="3AD1098D" w14:textId="77777777" w:rsidR="008233C1" w:rsidRDefault="008233C1" w:rsidP="00EC7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dea">
    <w:altName w:val="Calibri"/>
    <w:charset w:val="00"/>
    <w:family w:val="auto"/>
    <w:pitch w:val="variable"/>
    <w:sig w:usb0="A00000AF" w:usb1="4000206A" w:usb2="00000000" w:usb3="00000000" w:csb0="000001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162D4C"/>
        <w:sz w:val="20"/>
        <w:szCs w:val="16"/>
        <w:lang w:val="en-US"/>
      </w:rPr>
      <w:id w:val="-1817643074"/>
      <w:docPartObj>
        <w:docPartGallery w:val="Page Numbers (Bottom of Page)"/>
        <w:docPartUnique/>
      </w:docPartObj>
    </w:sdtPr>
    <w:sdtEndPr/>
    <w:sdtContent>
      <w:p w14:paraId="34B3B775" w14:textId="03056802" w:rsidR="003C7816" w:rsidRPr="00022147" w:rsidRDefault="003C7816">
        <w:pPr>
          <w:pStyle w:val="Sidefod"/>
          <w:jc w:val="right"/>
          <w:rPr>
            <w:color w:val="162D4C"/>
            <w:sz w:val="20"/>
            <w:szCs w:val="16"/>
            <w:lang w:val="en-US"/>
          </w:rPr>
        </w:pPr>
        <w:r w:rsidRPr="00022147">
          <w:rPr>
            <w:color w:val="162D4C"/>
            <w:sz w:val="20"/>
            <w:szCs w:val="16"/>
            <w:lang w:val="en-US"/>
          </w:rPr>
          <w:fldChar w:fldCharType="begin"/>
        </w:r>
        <w:r w:rsidRPr="00022147">
          <w:rPr>
            <w:color w:val="162D4C"/>
            <w:sz w:val="20"/>
            <w:szCs w:val="16"/>
            <w:lang w:val="en-US"/>
          </w:rPr>
          <w:instrText>PAGE   \* MERGEFORMAT</w:instrText>
        </w:r>
        <w:r w:rsidRPr="00022147">
          <w:rPr>
            <w:color w:val="162D4C"/>
            <w:sz w:val="20"/>
            <w:szCs w:val="16"/>
            <w:lang w:val="en-US"/>
          </w:rPr>
          <w:fldChar w:fldCharType="separate"/>
        </w:r>
        <w:r w:rsidRPr="00022147">
          <w:rPr>
            <w:color w:val="162D4C"/>
            <w:sz w:val="20"/>
            <w:szCs w:val="16"/>
            <w:lang w:val="en-US"/>
          </w:rPr>
          <w:t>2</w:t>
        </w:r>
        <w:r w:rsidRPr="00022147">
          <w:rPr>
            <w:color w:val="162D4C"/>
            <w:sz w:val="20"/>
            <w:szCs w:val="16"/>
            <w:lang w:val="en-US"/>
          </w:rPr>
          <w:fldChar w:fldCharType="end"/>
        </w:r>
      </w:p>
    </w:sdtContent>
  </w:sdt>
  <w:p w14:paraId="6C669F91" w14:textId="634BCEDF" w:rsidR="003C7816" w:rsidRPr="00022147" w:rsidRDefault="004808B1" w:rsidP="007E551E">
    <w:pPr>
      <w:pStyle w:val="Sidefod"/>
      <w:ind w:right="360"/>
      <w:rPr>
        <w:rFonts w:ascii="Gudea" w:hAnsi="Gudea"/>
        <w:color w:val="162D4C"/>
        <w:sz w:val="22"/>
        <w:lang w:val="en-US"/>
      </w:rPr>
    </w:pPr>
    <w:r>
      <w:rPr>
        <w:rFonts w:ascii="Gudea" w:hAnsi="Gudea"/>
        <w:color w:val="162D4C"/>
        <w:sz w:val="22"/>
        <w:lang w:val="en-US"/>
      </w:rPr>
      <w:t>Template</w:t>
    </w:r>
    <w:r w:rsidRPr="00022147">
      <w:rPr>
        <w:rFonts w:ascii="Gudea" w:hAnsi="Gudea"/>
        <w:color w:val="162D4C"/>
        <w:sz w:val="22"/>
        <w:lang w:val="en-US"/>
      </w:rPr>
      <w:t xml:space="preserve"> </w:t>
    </w:r>
    <w:r w:rsidR="00F635E9" w:rsidRPr="00022147">
      <w:rPr>
        <w:rFonts w:ascii="Gudea" w:hAnsi="Gudea"/>
        <w:color w:val="162D4C"/>
        <w:sz w:val="22"/>
        <w:lang w:val="en-US"/>
      </w:rPr>
      <w:t>for reporting</w:t>
    </w:r>
    <w:r w:rsidR="003C7816" w:rsidRPr="00022147">
      <w:rPr>
        <w:rFonts w:ascii="Gudea" w:hAnsi="Gudea"/>
        <w:color w:val="162D4C"/>
        <w:sz w:val="22"/>
        <w:lang w:val="en-US"/>
      </w:rPr>
      <w:t xml:space="preserve"> – version </w:t>
    </w:r>
    <w:r w:rsidR="00F635E9" w:rsidRPr="00022147">
      <w:rPr>
        <w:rFonts w:ascii="Gudea" w:hAnsi="Gudea"/>
        <w:color w:val="162D4C"/>
        <w:sz w:val="22"/>
        <w:lang w:val="en-US"/>
      </w:rPr>
      <w:t>o</w:t>
    </w:r>
    <w:r w:rsidR="003C7816" w:rsidRPr="00022147">
      <w:rPr>
        <w:rFonts w:ascii="Gudea" w:hAnsi="Gudea"/>
        <w:color w:val="162D4C"/>
        <w:sz w:val="22"/>
        <w:lang w:val="en-US"/>
      </w:rPr>
      <w:t xml:space="preserve">f </w:t>
    </w:r>
    <w:r w:rsidR="00F635E9" w:rsidRPr="00022147">
      <w:rPr>
        <w:rFonts w:ascii="Gudea" w:hAnsi="Gudea"/>
        <w:color w:val="162D4C"/>
        <w:sz w:val="22"/>
        <w:lang w:val="en-US"/>
      </w:rPr>
      <w:t>J</w:t>
    </w:r>
    <w:r w:rsidR="00792CDE" w:rsidRPr="00022147">
      <w:rPr>
        <w:rFonts w:ascii="Gudea" w:hAnsi="Gudea"/>
        <w:color w:val="162D4C"/>
        <w:sz w:val="22"/>
        <w:lang w:val="en-US"/>
      </w:rPr>
      <w:t>anuar</w:t>
    </w:r>
    <w:r w:rsidR="00F635E9">
      <w:rPr>
        <w:rFonts w:ascii="Gudea" w:hAnsi="Gudea"/>
        <w:color w:val="162D4C"/>
        <w:sz w:val="22"/>
        <w:lang w:val="en-US"/>
      </w:rPr>
      <w:t>y</w:t>
    </w:r>
    <w:r w:rsidR="00601C11" w:rsidRPr="00022147">
      <w:rPr>
        <w:rFonts w:ascii="Gudea" w:hAnsi="Gudea"/>
        <w:color w:val="162D4C"/>
        <w:sz w:val="22"/>
        <w:lang w:val="en-US"/>
      </w:rPr>
      <w:t xml:space="preserve"> </w:t>
    </w:r>
    <w:r w:rsidR="003C7816" w:rsidRPr="00022147">
      <w:rPr>
        <w:rFonts w:ascii="Gudea" w:hAnsi="Gudea"/>
        <w:color w:val="162D4C"/>
        <w:sz w:val="22"/>
        <w:lang w:val="en-US"/>
      </w:rPr>
      <w:t>202</w:t>
    </w:r>
    <w:r w:rsidR="00792CDE" w:rsidRPr="00022147">
      <w:rPr>
        <w:rFonts w:ascii="Gudea" w:hAnsi="Gudea"/>
        <w:color w:val="162D4C"/>
        <w:sz w:val="22"/>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A8E6D" w14:textId="77777777" w:rsidR="008233C1" w:rsidRDefault="008233C1" w:rsidP="00EC76D3">
      <w:r>
        <w:separator/>
      </w:r>
    </w:p>
  </w:footnote>
  <w:footnote w:type="continuationSeparator" w:id="0">
    <w:p w14:paraId="497FB639" w14:textId="77777777" w:rsidR="008233C1" w:rsidRDefault="008233C1" w:rsidP="00EC76D3">
      <w:r>
        <w:continuationSeparator/>
      </w:r>
    </w:p>
  </w:footnote>
  <w:footnote w:id="1">
    <w:p w14:paraId="41EDAEC0" w14:textId="10493F6F" w:rsidR="003C7816" w:rsidRPr="00D01827" w:rsidRDefault="003C7816" w:rsidP="001A783C">
      <w:pPr>
        <w:pStyle w:val="Fodnotetekst"/>
        <w:rPr>
          <w:rFonts w:ascii="Gudea" w:hAnsi="Gudea"/>
          <w:lang w:val="en-US"/>
        </w:rPr>
      </w:pPr>
      <w:r w:rsidRPr="00CE2C74">
        <w:rPr>
          <w:rStyle w:val="Fodnotehenvisning"/>
          <w:color w:val="0D414E"/>
        </w:rPr>
        <w:footnoteRef/>
      </w:r>
      <w:r w:rsidRPr="00D01827">
        <w:rPr>
          <w:color w:val="0D414E"/>
          <w:lang w:val="en-US"/>
        </w:rPr>
        <w:t xml:space="preserve"> </w:t>
      </w:r>
      <w:r w:rsidR="001A783C" w:rsidRPr="006824D1">
        <w:rPr>
          <w:color w:val="0D414E"/>
          <w:lang w:val="en-GB"/>
        </w:rPr>
        <w:t xml:space="preserve">If </w:t>
      </w:r>
      <w:r w:rsidR="00844E96" w:rsidRPr="006824D1">
        <w:rPr>
          <w:color w:val="0D414E"/>
          <w:lang w:val="en-GB"/>
        </w:rPr>
        <w:t xml:space="preserve">the company does not comply with a recommendation, the company must </w:t>
      </w:r>
      <w:r w:rsidR="001A783C" w:rsidRPr="006824D1">
        <w:rPr>
          <w:color w:val="0D414E"/>
          <w:lang w:val="en-GB"/>
        </w:rPr>
        <w:t xml:space="preserve">specifically explain; </w:t>
      </w:r>
      <w:r w:rsidR="001A783C" w:rsidRPr="006824D1">
        <w:rPr>
          <w:i/>
          <w:iCs/>
          <w:color w:val="0D414E"/>
          <w:lang w:val="en-GB"/>
        </w:rPr>
        <w:t xml:space="preserve">why </w:t>
      </w:r>
      <w:r w:rsidR="001A783C" w:rsidRPr="006824D1">
        <w:rPr>
          <w:color w:val="0D414E"/>
          <w:lang w:val="en-GB"/>
        </w:rPr>
        <w:t xml:space="preserve">the company has decided not to comply with the recommendation, and </w:t>
      </w:r>
      <w:r w:rsidR="001A783C" w:rsidRPr="006824D1">
        <w:rPr>
          <w:i/>
          <w:iCs/>
          <w:color w:val="0D414E"/>
          <w:lang w:val="en-GB"/>
        </w:rPr>
        <w:t>which</w:t>
      </w:r>
      <w:r w:rsidR="001A783C" w:rsidRPr="006824D1">
        <w:rPr>
          <w:color w:val="0D414E"/>
          <w:lang w:val="en-GB"/>
        </w:rPr>
        <w:t xml:space="preserve"> approach the company has chosen instead.</w:t>
      </w:r>
      <w:r w:rsidR="00844E96">
        <w:rPr>
          <w:color w:val="0D414E"/>
          <w:lang w:val="en-GB"/>
        </w:rPr>
        <w:t xml:space="preserve"> </w:t>
      </w:r>
      <w:r w:rsidR="00844E96" w:rsidRPr="006824D1">
        <w:rPr>
          <w:color w:val="0D414E"/>
          <w:lang w:val="en-GB"/>
        </w:rPr>
        <w:t xml:space="preserve">A comprehensive explanation answers both questions and is considered as compliant. Thus, it is </w:t>
      </w:r>
      <w:r w:rsidR="00844E96" w:rsidRPr="00844E96">
        <w:rPr>
          <w:color w:val="0D414E"/>
          <w:lang w:val="en-GB"/>
        </w:rPr>
        <w:t>important</w:t>
      </w:r>
      <w:r w:rsidR="00844E96" w:rsidRPr="006824D1">
        <w:rPr>
          <w:color w:val="0D414E"/>
          <w:lang w:val="en-GB"/>
        </w:rPr>
        <w:t xml:space="preserve"> that the company answers both question</w:t>
      </w:r>
      <w:r w:rsidR="00F514C8">
        <w:rPr>
          <w:color w:val="0D414E"/>
          <w:lang w:val="en-GB"/>
        </w:rPr>
        <w:t>s</w:t>
      </w:r>
      <w:r w:rsidR="00844E96" w:rsidRPr="006824D1">
        <w:rPr>
          <w:color w:val="0D414E"/>
          <w:lang w:val="en-GB"/>
        </w:rPr>
        <w:t xml:space="preserve"> in its </w:t>
      </w:r>
      <w:r w:rsidR="00844E96" w:rsidRPr="00844E96">
        <w:rPr>
          <w:color w:val="0D414E"/>
          <w:lang w:val="en-GB"/>
        </w:rPr>
        <w:t>explanation</w:t>
      </w:r>
      <w:r w:rsidR="00844E96" w:rsidRPr="006824D1">
        <w:rPr>
          <w:color w:val="0D414E"/>
          <w:lang w:val="en-GB"/>
        </w:rPr>
        <w:t>.</w:t>
      </w:r>
      <w:r w:rsidR="00844E96" w:rsidRPr="006824D1">
        <w:rPr>
          <w:rFonts w:ascii="Gudea" w:hAnsi="Gudea"/>
          <w:color w:val="0D414E"/>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FE24F" w14:textId="16079959" w:rsidR="00F10A47" w:rsidRPr="00F10A47" w:rsidRDefault="00F10A47" w:rsidP="00F10A47">
    <w:pPr>
      <w:pStyle w:val="Sidehoved"/>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7B2D"/>
    <w:multiLevelType w:val="hybridMultilevel"/>
    <w:tmpl w:val="8208D4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3D6671C"/>
    <w:multiLevelType w:val="hybridMultilevel"/>
    <w:tmpl w:val="E80A63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87E0935"/>
    <w:multiLevelType w:val="hybridMultilevel"/>
    <w:tmpl w:val="834EC0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8C93346"/>
    <w:multiLevelType w:val="hybridMultilevel"/>
    <w:tmpl w:val="099E38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90E1919"/>
    <w:multiLevelType w:val="hybridMultilevel"/>
    <w:tmpl w:val="DF6CC9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A214EBF"/>
    <w:multiLevelType w:val="multilevel"/>
    <w:tmpl w:val="BB3EB7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7E5DA6"/>
    <w:multiLevelType w:val="hybridMultilevel"/>
    <w:tmpl w:val="DD86F8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0DC979D8"/>
    <w:multiLevelType w:val="hybridMultilevel"/>
    <w:tmpl w:val="46D259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0DED7F7D"/>
    <w:multiLevelType w:val="hybridMultilevel"/>
    <w:tmpl w:val="3A2C2B9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117F658A"/>
    <w:multiLevelType w:val="hybridMultilevel"/>
    <w:tmpl w:val="4E7681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429246B"/>
    <w:multiLevelType w:val="hybridMultilevel"/>
    <w:tmpl w:val="96305C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805213C"/>
    <w:multiLevelType w:val="hybridMultilevel"/>
    <w:tmpl w:val="4872C0A2"/>
    <w:lvl w:ilvl="0" w:tplc="85D0E1EE">
      <w:numFmt w:val="bullet"/>
      <w:lvlText w:val="•"/>
      <w:lvlJc w:val="left"/>
      <w:pPr>
        <w:ind w:left="1660" w:hanging="1300"/>
      </w:pPr>
      <w:rPr>
        <w:rFonts w:ascii="Gudea" w:eastAsia="Times New Roman" w:hAnsi="Gude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93F49FD"/>
    <w:multiLevelType w:val="hybridMultilevel"/>
    <w:tmpl w:val="6DC488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9B27E7D"/>
    <w:multiLevelType w:val="hybridMultilevel"/>
    <w:tmpl w:val="B770C726"/>
    <w:lvl w:ilvl="0" w:tplc="85D0E1EE">
      <w:numFmt w:val="bullet"/>
      <w:lvlText w:val="•"/>
      <w:lvlJc w:val="left"/>
      <w:pPr>
        <w:ind w:left="720" w:hanging="360"/>
      </w:pPr>
      <w:rPr>
        <w:rFonts w:ascii="Gudea" w:eastAsia="Times New Roman" w:hAnsi="Gude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6AE0999"/>
    <w:multiLevelType w:val="multilevel"/>
    <w:tmpl w:val="A6B0485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7953E73"/>
    <w:multiLevelType w:val="hybridMultilevel"/>
    <w:tmpl w:val="034CE7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7BB7B4E"/>
    <w:multiLevelType w:val="hybridMultilevel"/>
    <w:tmpl w:val="EDF8FA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2821395D"/>
    <w:multiLevelType w:val="hybridMultilevel"/>
    <w:tmpl w:val="EA72B1A8"/>
    <w:lvl w:ilvl="0" w:tplc="85D0E1EE">
      <w:numFmt w:val="bullet"/>
      <w:lvlText w:val="•"/>
      <w:lvlJc w:val="left"/>
      <w:pPr>
        <w:ind w:left="2020" w:hanging="1300"/>
      </w:pPr>
      <w:rPr>
        <w:rFonts w:ascii="Gudea" w:eastAsia="Times New Roman" w:hAnsi="Gudea"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8" w15:restartNumberingAfterBreak="0">
    <w:nsid w:val="29D87C3F"/>
    <w:multiLevelType w:val="hybridMultilevel"/>
    <w:tmpl w:val="B00894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2C9E5FF9"/>
    <w:multiLevelType w:val="hybridMultilevel"/>
    <w:tmpl w:val="FBA81E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2FD52B18"/>
    <w:multiLevelType w:val="hybridMultilevel"/>
    <w:tmpl w:val="EB7A60E2"/>
    <w:lvl w:ilvl="0" w:tplc="85D0E1EE">
      <w:numFmt w:val="bullet"/>
      <w:lvlText w:val="•"/>
      <w:lvlJc w:val="left"/>
      <w:pPr>
        <w:ind w:left="720" w:hanging="360"/>
      </w:pPr>
      <w:rPr>
        <w:rFonts w:ascii="Gudea" w:eastAsia="Times New Roman" w:hAnsi="Gude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4794D03"/>
    <w:multiLevelType w:val="multilevel"/>
    <w:tmpl w:val="5672CE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5FA045F"/>
    <w:multiLevelType w:val="hybridMultilevel"/>
    <w:tmpl w:val="229873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2546554"/>
    <w:multiLevelType w:val="hybridMultilevel"/>
    <w:tmpl w:val="295646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B7B72D6"/>
    <w:multiLevelType w:val="hybridMultilevel"/>
    <w:tmpl w:val="AE2C39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BB76D3C"/>
    <w:multiLevelType w:val="hybridMultilevel"/>
    <w:tmpl w:val="4ECE849E"/>
    <w:lvl w:ilvl="0" w:tplc="85D0E1EE">
      <w:numFmt w:val="bullet"/>
      <w:lvlText w:val="•"/>
      <w:lvlJc w:val="left"/>
      <w:pPr>
        <w:ind w:left="1660" w:hanging="1300"/>
      </w:pPr>
      <w:rPr>
        <w:rFonts w:ascii="Gudea" w:eastAsia="Times New Roman" w:hAnsi="Gude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C581290"/>
    <w:multiLevelType w:val="hybridMultilevel"/>
    <w:tmpl w:val="0AE42B6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4F581904"/>
    <w:multiLevelType w:val="multilevel"/>
    <w:tmpl w:val="EBACC6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F6059F1"/>
    <w:multiLevelType w:val="hybridMultilevel"/>
    <w:tmpl w:val="52DE8A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436698A"/>
    <w:multiLevelType w:val="hybridMultilevel"/>
    <w:tmpl w:val="C75EF4C2"/>
    <w:lvl w:ilvl="0" w:tplc="85D0E1EE">
      <w:numFmt w:val="bullet"/>
      <w:lvlText w:val="•"/>
      <w:lvlJc w:val="left"/>
      <w:pPr>
        <w:ind w:left="720" w:hanging="360"/>
      </w:pPr>
      <w:rPr>
        <w:rFonts w:ascii="Gudea" w:eastAsia="Times New Roman" w:hAnsi="Gude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4440F3C"/>
    <w:multiLevelType w:val="hybridMultilevel"/>
    <w:tmpl w:val="20E2F7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59E4DBD"/>
    <w:multiLevelType w:val="hybridMultilevel"/>
    <w:tmpl w:val="0F6E42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570F1C2A"/>
    <w:multiLevelType w:val="hybridMultilevel"/>
    <w:tmpl w:val="613C9526"/>
    <w:lvl w:ilvl="0" w:tplc="85D0E1EE">
      <w:numFmt w:val="bullet"/>
      <w:lvlText w:val="•"/>
      <w:lvlJc w:val="left"/>
      <w:pPr>
        <w:ind w:left="720" w:hanging="360"/>
      </w:pPr>
      <w:rPr>
        <w:rFonts w:ascii="Gudea" w:eastAsia="Times New Roman" w:hAnsi="Gude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5A0C57D3"/>
    <w:multiLevelType w:val="hybridMultilevel"/>
    <w:tmpl w:val="D10A2CBC"/>
    <w:lvl w:ilvl="0" w:tplc="85D0E1EE">
      <w:numFmt w:val="bullet"/>
      <w:lvlText w:val="•"/>
      <w:lvlJc w:val="left"/>
      <w:pPr>
        <w:ind w:left="720" w:hanging="360"/>
      </w:pPr>
      <w:rPr>
        <w:rFonts w:ascii="Gudea" w:eastAsia="Times New Roman" w:hAnsi="Gude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5D042AF1"/>
    <w:multiLevelType w:val="hybridMultilevel"/>
    <w:tmpl w:val="1C428F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5D63637B"/>
    <w:multiLevelType w:val="hybridMultilevel"/>
    <w:tmpl w:val="70DE94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50C465A"/>
    <w:multiLevelType w:val="hybridMultilevel"/>
    <w:tmpl w:val="C95EA4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52222E9"/>
    <w:multiLevelType w:val="hybridMultilevel"/>
    <w:tmpl w:val="9C9690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68AB2C54"/>
    <w:multiLevelType w:val="hybridMultilevel"/>
    <w:tmpl w:val="A25AD9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6A017CAE"/>
    <w:multiLevelType w:val="hybridMultilevel"/>
    <w:tmpl w:val="46E075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6DCC7CFF"/>
    <w:multiLevelType w:val="hybridMultilevel"/>
    <w:tmpl w:val="3CB8EC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6F416FBE"/>
    <w:multiLevelType w:val="hybridMultilevel"/>
    <w:tmpl w:val="0EB23E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70357D24"/>
    <w:multiLevelType w:val="multilevel"/>
    <w:tmpl w:val="1D6E6314"/>
    <w:lvl w:ilvl="0">
      <w:start w:val="1"/>
      <w:numFmt w:val="decimal"/>
      <w:pStyle w:val="Overskrift1"/>
      <w:lvlText w:val="%1."/>
      <w:lvlJc w:val="left"/>
      <w:pPr>
        <w:tabs>
          <w:tab w:val="num" w:pos="357"/>
        </w:tabs>
        <w:ind w:left="357" w:hanging="357"/>
      </w:pPr>
      <w:rPr>
        <w:rFonts w:hint="default"/>
        <w:caps w:val="0"/>
        <w:strike w:val="0"/>
        <w:dstrike w:val="0"/>
        <w:vanish w:val="0"/>
        <w:u w:val="none" w:color="9BBB59" w:themeColor="accent3"/>
        <w:vertAlign w:val="baseline"/>
      </w:rPr>
    </w:lvl>
    <w:lvl w:ilvl="1">
      <w:start w:val="1"/>
      <w:numFmt w:val="decimal"/>
      <w:pStyle w:val="Overskrift2"/>
      <w:lvlText w:val="%1.%2."/>
      <w:lvlJc w:val="left"/>
      <w:pPr>
        <w:tabs>
          <w:tab w:val="num" w:pos="567"/>
        </w:tabs>
        <w:ind w:left="567" w:hanging="567"/>
      </w:pPr>
      <w:rPr>
        <w:rFonts w:hint="default"/>
      </w:rPr>
    </w:lvl>
    <w:lvl w:ilvl="2">
      <w:start w:val="1"/>
      <w:numFmt w:val="decimal"/>
      <w:pStyle w:val="Overskrift3"/>
      <w:lvlText w:val="%1.%2.%3."/>
      <w:lvlJc w:val="left"/>
      <w:pPr>
        <w:tabs>
          <w:tab w:val="num" w:pos="794"/>
        </w:tabs>
        <w:ind w:left="794" w:hanging="794"/>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decimal"/>
      <w:lvlText w:val="%1.%2.%3.%4.%5."/>
      <w:lvlJc w:val="left"/>
      <w:pPr>
        <w:ind w:left="5109" w:hanging="1701"/>
      </w:pPr>
      <w:rPr>
        <w:rFonts w:hint="default"/>
      </w:rPr>
    </w:lvl>
    <w:lvl w:ilvl="5">
      <w:start w:val="1"/>
      <w:numFmt w:val="decimal"/>
      <w:lvlText w:val="%1.%2.%3.%4.%5.%6."/>
      <w:lvlJc w:val="left"/>
      <w:pPr>
        <w:ind w:left="5449" w:hanging="2041"/>
      </w:pPr>
      <w:rPr>
        <w:rFonts w:hint="default"/>
      </w:rPr>
    </w:lvl>
    <w:lvl w:ilvl="6">
      <w:start w:val="1"/>
      <w:numFmt w:val="decimal"/>
      <w:lvlText w:val="%1.%2.%3.%4.%5.%6.%7."/>
      <w:lvlJc w:val="left"/>
      <w:pPr>
        <w:ind w:left="6648" w:hanging="3240"/>
      </w:pPr>
      <w:rPr>
        <w:rFonts w:hint="default"/>
      </w:rPr>
    </w:lvl>
    <w:lvl w:ilvl="7">
      <w:start w:val="1"/>
      <w:numFmt w:val="decimal"/>
      <w:lvlText w:val="%1.%2.%3.%4.%5.%6.%7.%8."/>
      <w:lvlJc w:val="left"/>
      <w:pPr>
        <w:ind w:left="7152" w:hanging="3744"/>
      </w:pPr>
      <w:rPr>
        <w:rFonts w:hint="default"/>
      </w:rPr>
    </w:lvl>
    <w:lvl w:ilvl="8">
      <w:start w:val="1"/>
      <w:numFmt w:val="decimal"/>
      <w:lvlText w:val="%1.%2.%3.%4.%5.%6.%7.%8.%9."/>
      <w:lvlJc w:val="left"/>
      <w:pPr>
        <w:ind w:left="7728" w:hanging="4320"/>
      </w:pPr>
      <w:rPr>
        <w:rFonts w:hint="default"/>
      </w:rPr>
    </w:lvl>
  </w:abstractNum>
  <w:abstractNum w:abstractNumId="43" w15:restartNumberingAfterBreak="0">
    <w:nsid w:val="72FF7392"/>
    <w:multiLevelType w:val="hybridMultilevel"/>
    <w:tmpl w:val="D69CD852"/>
    <w:lvl w:ilvl="0" w:tplc="85D0E1EE">
      <w:numFmt w:val="bullet"/>
      <w:lvlText w:val="•"/>
      <w:lvlJc w:val="left"/>
      <w:pPr>
        <w:ind w:left="720" w:hanging="360"/>
      </w:pPr>
      <w:rPr>
        <w:rFonts w:ascii="Gudea" w:eastAsia="Times New Roman" w:hAnsi="Gude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15:restartNumberingAfterBreak="0">
    <w:nsid w:val="731D7243"/>
    <w:multiLevelType w:val="hybridMultilevel"/>
    <w:tmpl w:val="745669A0"/>
    <w:lvl w:ilvl="0" w:tplc="85D0E1EE">
      <w:numFmt w:val="bullet"/>
      <w:lvlText w:val="•"/>
      <w:lvlJc w:val="left"/>
      <w:pPr>
        <w:ind w:left="720" w:hanging="360"/>
      </w:pPr>
      <w:rPr>
        <w:rFonts w:ascii="Gudea" w:eastAsia="Times New Roman" w:hAnsi="Gude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15:restartNumberingAfterBreak="0">
    <w:nsid w:val="784B377E"/>
    <w:multiLevelType w:val="hybridMultilevel"/>
    <w:tmpl w:val="7B3E8A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6" w15:restartNumberingAfterBreak="0">
    <w:nsid w:val="7F291B14"/>
    <w:multiLevelType w:val="hybridMultilevel"/>
    <w:tmpl w:val="CC8000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6"/>
  </w:num>
  <w:num w:numId="2">
    <w:abstractNumId w:val="8"/>
  </w:num>
  <w:num w:numId="3">
    <w:abstractNumId w:val="21"/>
  </w:num>
  <w:num w:numId="4">
    <w:abstractNumId w:val="14"/>
  </w:num>
  <w:num w:numId="5">
    <w:abstractNumId w:val="23"/>
  </w:num>
  <w:num w:numId="6">
    <w:abstractNumId w:val="28"/>
  </w:num>
  <w:num w:numId="7">
    <w:abstractNumId w:val="2"/>
  </w:num>
  <w:num w:numId="8">
    <w:abstractNumId w:val="34"/>
  </w:num>
  <w:num w:numId="9">
    <w:abstractNumId w:val="9"/>
  </w:num>
  <w:num w:numId="10">
    <w:abstractNumId w:val="0"/>
  </w:num>
  <w:num w:numId="11">
    <w:abstractNumId w:val="40"/>
  </w:num>
  <w:num w:numId="12">
    <w:abstractNumId w:val="31"/>
  </w:num>
  <w:num w:numId="13">
    <w:abstractNumId w:val="10"/>
  </w:num>
  <w:num w:numId="14">
    <w:abstractNumId w:val="38"/>
  </w:num>
  <w:num w:numId="15">
    <w:abstractNumId w:val="16"/>
  </w:num>
  <w:num w:numId="16">
    <w:abstractNumId w:val="3"/>
  </w:num>
  <w:num w:numId="17">
    <w:abstractNumId w:val="7"/>
  </w:num>
  <w:num w:numId="18">
    <w:abstractNumId w:val="46"/>
  </w:num>
  <w:num w:numId="19">
    <w:abstractNumId w:val="19"/>
  </w:num>
  <w:num w:numId="20">
    <w:abstractNumId w:val="12"/>
  </w:num>
  <w:num w:numId="21">
    <w:abstractNumId w:val="41"/>
  </w:num>
  <w:num w:numId="22">
    <w:abstractNumId w:val="30"/>
  </w:num>
  <w:num w:numId="23">
    <w:abstractNumId w:val="35"/>
  </w:num>
  <w:num w:numId="24">
    <w:abstractNumId w:val="25"/>
  </w:num>
  <w:num w:numId="25">
    <w:abstractNumId w:val="17"/>
  </w:num>
  <w:num w:numId="26">
    <w:abstractNumId w:val="11"/>
  </w:num>
  <w:num w:numId="27">
    <w:abstractNumId w:val="33"/>
  </w:num>
  <w:num w:numId="28">
    <w:abstractNumId w:val="29"/>
  </w:num>
  <w:num w:numId="29">
    <w:abstractNumId w:val="13"/>
  </w:num>
  <w:num w:numId="30">
    <w:abstractNumId w:val="44"/>
  </w:num>
  <w:num w:numId="31">
    <w:abstractNumId w:val="32"/>
  </w:num>
  <w:num w:numId="32">
    <w:abstractNumId w:val="18"/>
  </w:num>
  <w:num w:numId="33">
    <w:abstractNumId w:val="1"/>
  </w:num>
  <w:num w:numId="34">
    <w:abstractNumId w:val="37"/>
  </w:num>
  <w:num w:numId="35">
    <w:abstractNumId w:val="15"/>
  </w:num>
  <w:num w:numId="36">
    <w:abstractNumId w:val="24"/>
  </w:num>
  <w:num w:numId="37">
    <w:abstractNumId w:val="43"/>
  </w:num>
  <w:num w:numId="38">
    <w:abstractNumId w:val="20"/>
  </w:num>
  <w:num w:numId="39">
    <w:abstractNumId w:val="5"/>
  </w:num>
  <w:num w:numId="40">
    <w:abstractNumId w:val="27"/>
  </w:num>
  <w:num w:numId="41">
    <w:abstractNumId w:val="42"/>
  </w:num>
  <w:num w:numId="42">
    <w:abstractNumId w:val="22"/>
  </w:num>
  <w:num w:numId="43">
    <w:abstractNumId w:val="36"/>
  </w:num>
  <w:num w:numId="44">
    <w:abstractNumId w:val="6"/>
  </w:num>
  <w:num w:numId="45">
    <w:abstractNumId w:val="4"/>
  </w:num>
  <w:num w:numId="46">
    <w:abstractNumId w:val="45"/>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039"/>
    <w:rsid w:val="0000629B"/>
    <w:rsid w:val="00016493"/>
    <w:rsid w:val="00022147"/>
    <w:rsid w:val="0003092D"/>
    <w:rsid w:val="0003326F"/>
    <w:rsid w:val="0003471D"/>
    <w:rsid w:val="00035561"/>
    <w:rsid w:val="0004719F"/>
    <w:rsid w:val="0005319D"/>
    <w:rsid w:val="0005653A"/>
    <w:rsid w:val="00062595"/>
    <w:rsid w:val="00064538"/>
    <w:rsid w:val="000663DA"/>
    <w:rsid w:val="000671CC"/>
    <w:rsid w:val="00077EEC"/>
    <w:rsid w:val="00080A37"/>
    <w:rsid w:val="00084247"/>
    <w:rsid w:val="00093374"/>
    <w:rsid w:val="00095ECE"/>
    <w:rsid w:val="000A5FAA"/>
    <w:rsid w:val="000C507C"/>
    <w:rsid w:val="000D047F"/>
    <w:rsid w:val="000D430C"/>
    <w:rsid w:val="000E7231"/>
    <w:rsid w:val="00101103"/>
    <w:rsid w:val="00101BB1"/>
    <w:rsid w:val="00105C55"/>
    <w:rsid w:val="00114709"/>
    <w:rsid w:val="00134F2B"/>
    <w:rsid w:val="001366E9"/>
    <w:rsid w:val="00140D8A"/>
    <w:rsid w:val="001415E4"/>
    <w:rsid w:val="001427F7"/>
    <w:rsid w:val="00142FB6"/>
    <w:rsid w:val="0015382D"/>
    <w:rsid w:val="00165237"/>
    <w:rsid w:val="00170AD4"/>
    <w:rsid w:val="00175100"/>
    <w:rsid w:val="0017524F"/>
    <w:rsid w:val="001778FC"/>
    <w:rsid w:val="00181FC9"/>
    <w:rsid w:val="00187F29"/>
    <w:rsid w:val="001915E4"/>
    <w:rsid w:val="00194CEC"/>
    <w:rsid w:val="001A0808"/>
    <w:rsid w:val="001A607E"/>
    <w:rsid w:val="001A6130"/>
    <w:rsid w:val="001A6681"/>
    <w:rsid w:val="001A716B"/>
    <w:rsid w:val="001A783C"/>
    <w:rsid w:val="001C40CB"/>
    <w:rsid w:val="001F351B"/>
    <w:rsid w:val="002105F4"/>
    <w:rsid w:val="00235D74"/>
    <w:rsid w:val="002473D1"/>
    <w:rsid w:val="0025087D"/>
    <w:rsid w:val="0026400E"/>
    <w:rsid w:val="00265967"/>
    <w:rsid w:val="002700F0"/>
    <w:rsid w:val="002704BA"/>
    <w:rsid w:val="00271F61"/>
    <w:rsid w:val="002721F5"/>
    <w:rsid w:val="002744AF"/>
    <w:rsid w:val="0027461E"/>
    <w:rsid w:val="00295073"/>
    <w:rsid w:val="00296CC3"/>
    <w:rsid w:val="002A7BE3"/>
    <w:rsid w:val="002C1818"/>
    <w:rsid w:val="002E18E1"/>
    <w:rsid w:val="002E4BDB"/>
    <w:rsid w:val="002F024A"/>
    <w:rsid w:val="002F58F8"/>
    <w:rsid w:val="002F6753"/>
    <w:rsid w:val="00301004"/>
    <w:rsid w:val="003038CE"/>
    <w:rsid w:val="00304775"/>
    <w:rsid w:val="003105D0"/>
    <w:rsid w:val="00311956"/>
    <w:rsid w:val="00313011"/>
    <w:rsid w:val="00315AAC"/>
    <w:rsid w:val="00321ECF"/>
    <w:rsid w:val="0032430D"/>
    <w:rsid w:val="003413CD"/>
    <w:rsid w:val="0034435A"/>
    <w:rsid w:val="00346AD4"/>
    <w:rsid w:val="003556BA"/>
    <w:rsid w:val="003634EC"/>
    <w:rsid w:val="00375F00"/>
    <w:rsid w:val="00383A20"/>
    <w:rsid w:val="003872A5"/>
    <w:rsid w:val="0039119C"/>
    <w:rsid w:val="003A0719"/>
    <w:rsid w:val="003A0944"/>
    <w:rsid w:val="003A4B7F"/>
    <w:rsid w:val="003B579A"/>
    <w:rsid w:val="003C1F45"/>
    <w:rsid w:val="003C7816"/>
    <w:rsid w:val="003E5892"/>
    <w:rsid w:val="003E74BA"/>
    <w:rsid w:val="003F4580"/>
    <w:rsid w:val="003F693C"/>
    <w:rsid w:val="00401EF6"/>
    <w:rsid w:val="004056CD"/>
    <w:rsid w:val="0041089E"/>
    <w:rsid w:val="00416276"/>
    <w:rsid w:val="004163BB"/>
    <w:rsid w:val="00447FF8"/>
    <w:rsid w:val="004579A4"/>
    <w:rsid w:val="00462FAF"/>
    <w:rsid w:val="00462FFB"/>
    <w:rsid w:val="00466EB1"/>
    <w:rsid w:val="00474371"/>
    <w:rsid w:val="004759E1"/>
    <w:rsid w:val="00477EC7"/>
    <w:rsid w:val="004808B1"/>
    <w:rsid w:val="0048556A"/>
    <w:rsid w:val="00491E61"/>
    <w:rsid w:val="00497BAC"/>
    <w:rsid w:val="004A2B05"/>
    <w:rsid w:val="004C59C7"/>
    <w:rsid w:val="004D189A"/>
    <w:rsid w:val="004E35F7"/>
    <w:rsid w:val="004F0048"/>
    <w:rsid w:val="004F1D97"/>
    <w:rsid w:val="004F4274"/>
    <w:rsid w:val="00505408"/>
    <w:rsid w:val="0050719D"/>
    <w:rsid w:val="00512D55"/>
    <w:rsid w:val="005201D4"/>
    <w:rsid w:val="00521C6F"/>
    <w:rsid w:val="0052521C"/>
    <w:rsid w:val="00531F64"/>
    <w:rsid w:val="00535490"/>
    <w:rsid w:val="005355AB"/>
    <w:rsid w:val="00546FFD"/>
    <w:rsid w:val="00547F4F"/>
    <w:rsid w:val="00566864"/>
    <w:rsid w:val="0059096E"/>
    <w:rsid w:val="00593A61"/>
    <w:rsid w:val="00595504"/>
    <w:rsid w:val="005B02D7"/>
    <w:rsid w:val="005B6D00"/>
    <w:rsid w:val="005C0C5A"/>
    <w:rsid w:val="005C2BE2"/>
    <w:rsid w:val="005C3C13"/>
    <w:rsid w:val="005D1AAE"/>
    <w:rsid w:val="005F3B48"/>
    <w:rsid w:val="00601C11"/>
    <w:rsid w:val="00604AA1"/>
    <w:rsid w:val="00606D6B"/>
    <w:rsid w:val="006128C6"/>
    <w:rsid w:val="00624E96"/>
    <w:rsid w:val="006454DF"/>
    <w:rsid w:val="0066298A"/>
    <w:rsid w:val="0066390B"/>
    <w:rsid w:val="00665104"/>
    <w:rsid w:val="0066637F"/>
    <w:rsid w:val="00672741"/>
    <w:rsid w:val="006824D1"/>
    <w:rsid w:val="00686B15"/>
    <w:rsid w:val="00687235"/>
    <w:rsid w:val="006B128A"/>
    <w:rsid w:val="006B2A8E"/>
    <w:rsid w:val="006D1A64"/>
    <w:rsid w:val="006D5E4D"/>
    <w:rsid w:val="006E3560"/>
    <w:rsid w:val="00703F58"/>
    <w:rsid w:val="007421E6"/>
    <w:rsid w:val="00746A94"/>
    <w:rsid w:val="00756E76"/>
    <w:rsid w:val="00762FF5"/>
    <w:rsid w:val="00764CBA"/>
    <w:rsid w:val="0077722F"/>
    <w:rsid w:val="0078557D"/>
    <w:rsid w:val="007908C8"/>
    <w:rsid w:val="00791F72"/>
    <w:rsid w:val="00792CDE"/>
    <w:rsid w:val="00795FDD"/>
    <w:rsid w:val="00797D2E"/>
    <w:rsid w:val="007B37E4"/>
    <w:rsid w:val="007B42F4"/>
    <w:rsid w:val="007B799F"/>
    <w:rsid w:val="007B7F94"/>
    <w:rsid w:val="007C558E"/>
    <w:rsid w:val="007E18AB"/>
    <w:rsid w:val="007E5084"/>
    <w:rsid w:val="007E551E"/>
    <w:rsid w:val="007F67DA"/>
    <w:rsid w:val="007F6C52"/>
    <w:rsid w:val="007F7522"/>
    <w:rsid w:val="007F79AD"/>
    <w:rsid w:val="008012E4"/>
    <w:rsid w:val="00802174"/>
    <w:rsid w:val="0080550E"/>
    <w:rsid w:val="00807F69"/>
    <w:rsid w:val="00813D73"/>
    <w:rsid w:val="00813FF9"/>
    <w:rsid w:val="00815EE5"/>
    <w:rsid w:val="00817F4E"/>
    <w:rsid w:val="0082237D"/>
    <w:rsid w:val="008233C1"/>
    <w:rsid w:val="00844E96"/>
    <w:rsid w:val="00853B22"/>
    <w:rsid w:val="0086076D"/>
    <w:rsid w:val="008615E7"/>
    <w:rsid w:val="00866FE3"/>
    <w:rsid w:val="00873EBD"/>
    <w:rsid w:val="008A0FA9"/>
    <w:rsid w:val="008C3322"/>
    <w:rsid w:val="008C6C86"/>
    <w:rsid w:val="008D1D76"/>
    <w:rsid w:val="008E2921"/>
    <w:rsid w:val="008E3CA0"/>
    <w:rsid w:val="008E44B9"/>
    <w:rsid w:val="008E6577"/>
    <w:rsid w:val="008E7AD6"/>
    <w:rsid w:val="0091124F"/>
    <w:rsid w:val="00913562"/>
    <w:rsid w:val="00927BEC"/>
    <w:rsid w:val="00931F1C"/>
    <w:rsid w:val="00942184"/>
    <w:rsid w:val="009546A3"/>
    <w:rsid w:val="009613A3"/>
    <w:rsid w:val="009618E9"/>
    <w:rsid w:val="0096627B"/>
    <w:rsid w:val="009854D8"/>
    <w:rsid w:val="009A6598"/>
    <w:rsid w:val="009B5E85"/>
    <w:rsid w:val="009B60B0"/>
    <w:rsid w:val="009F454B"/>
    <w:rsid w:val="009F5C88"/>
    <w:rsid w:val="009F636D"/>
    <w:rsid w:val="00A026B5"/>
    <w:rsid w:val="00A10E1B"/>
    <w:rsid w:val="00A235A9"/>
    <w:rsid w:val="00A238F0"/>
    <w:rsid w:val="00A63FF9"/>
    <w:rsid w:val="00A673F8"/>
    <w:rsid w:val="00A67515"/>
    <w:rsid w:val="00A8226B"/>
    <w:rsid w:val="00A83E11"/>
    <w:rsid w:val="00A86D07"/>
    <w:rsid w:val="00A9736A"/>
    <w:rsid w:val="00AA287B"/>
    <w:rsid w:val="00AA38A2"/>
    <w:rsid w:val="00AA5942"/>
    <w:rsid w:val="00AE6A8C"/>
    <w:rsid w:val="00AF0186"/>
    <w:rsid w:val="00B04ABA"/>
    <w:rsid w:val="00B0561F"/>
    <w:rsid w:val="00B222FB"/>
    <w:rsid w:val="00B33C66"/>
    <w:rsid w:val="00B44BB6"/>
    <w:rsid w:val="00B57289"/>
    <w:rsid w:val="00B620E9"/>
    <w:rsid w:val="00B64217"/>
    <w:rsid w:val="00B66CCE"/>
    <w:rsid w:val="00B714C9"/>
    <w:rsid w:val="00B72F50"/>
    <w:rsid w:val="00B827FB"/>
    <w:rsid w:val="00B92B87"/>
    <w:rsid w:val="00BC0B0D"/>
    <w:rsid w:val="00BC575B"/>
    <w:rsid w:val="00BD2922"/>
    <w:rsid w:val="00BD5045"/>
    <w:rsid w:val="00BE27B0"/>
    <w:rsid w:val="00BE74B8"/>
    <w:rsid w:val="00C16FAC"/>
    <w:rsid w:val="00C21039"/>
    <w:rsid w:val="00C31BF1"/>
    <w:rsid w:val="00C33052"/>
    <w:rsid w:val="00C37BE2"/>
    <w:rsid w:val="00C45539"/>
    <w:rsid w:val="00C534B4"/>
    <w:rsid w:val="00C565F9"/>
    <w:rsid w:val="00C628A6"/>
    <w:rsid w:val="00C9043D"/>
    <w:rsid w:val="00C9156A"/>
    <w:rsid w:val="00CA24D6"/>
    <w:rsid w:val="00CA660C"/>
    <w:rsid w:val="00CB0545"/>
    <w:rsid w:val="00CB150F"/>
    <w:rsid w:val="00CB2E76"/>
    <w:rsid w:val="00CC3FCE"/>
    <w:rsid w:val="00CD4C15"/>
    <w:rsid w:val="00CD4FD3"/>
    <w:rsid w:val="00CE1B9B"/>
    <w:rsid w:val="00CE2C74"/>
    <w:rsid w:val="00CF1F44"/>
    <w:rsid w:val="00CF7491"/>
    <w:rsid w:val="00D00478"/>
    <w:rsid w:val="00D013F4"/>
    <w:rsid w:val="00D01827"/>
    <w:rsid w:val="00D07CFF"/>
    <w:rsid w:val="00D17BAA"/>
    <w:rsid w:val="00D17D7D"/>
    <w:rsid w:val="00D23C46"/>
    <w:rsid w:val="00D30876"/>
    <w:rsid w:val="00D32F72"/>
    <w:rsid w:val="00D55D45"/>
    <w:rsid w:val="00D57A12"/>
    <w:rsid w:val="00D674D9"/>
    <w:rsid w:val="00D7786A"/>
    <w:rsid w:val="00D81F84"/>
    <w:rsid w:val="00D93970"/>
    <w:rsid w:val="00DA119C"/>
    <w:rsid w:val="00DA35A1"/>
    <w:rsid w:val="00DB01A7"/>
    <w:rsid w:val="00DC1200"/>
    <w:rsid w:val="00DC7063"/>
    <w:rsid w:val="00DE6017"/>
    <w:rsid w:val="00DE6AE6"/>
    <w:rsid w:val="00DF1540"/>
    <w:rsid w:val="00DF52AB"/>
    <w:rsid w:val="00DF746D"/>
    <w:rsid w:val="00E14B9A"/>
    <w:rsid w:val="00E32D3A"/>
    <w:rsid w:val="00E539E2"/>
    <w:rsid w:val="00E60D53"/>
    <w:rsid w:val="00E6359F"/>
    <w:rsid w:val="00E71199"/>
    <w:rsid w:val="00E72667"/>
    <w:rsid w:val="00E777AF"/>
    <w:rsid w:val="00E920B0"/>
    <w:rsid w:val="00EC6123"/>
    <w:rsid w:val="00EC65D9"/>
    <w:rsid w:val="00EC76D3"/>
    <w:rsid w:val="00ED273B"/>
    <w:rsid w:val="00ED6342"/>
    <w:rsid w:val="00EE0830"/>
    <w:rsid w:val="00EE5830"/>
    <w:rsid w:val="00EF3CD1"/>
    <w:rsid w:val="00F00363"/>
    <w:rsid w:val="00F019FD"/>
    <w:rsid w:val="00F0467F"/>
    <w:rsid w:val="00F04D66"/>
    <w:rsid w:val="00F10A47"/>
    <w:rsid w:val="00F263CE"/>
    <w:rsid w:val="00F31B91"/>
    <w:rsid w:val="00F354B4"/>
    <w:rsid w:val="00F44BC3"/>
    <w:rsid w:val="00F46671"/>
    <w:rsid w:val="00F514C8"/>
    <w:rsid w:val="00F56905"/>
    <w:rsid w:val="00F6028B"/>
    <w:rsid w:val="00F635E9"/>
    <w:rsid w:val="00F75E3A"/>
    <w:rsid w:val="00F75F8E"/>
    <w:rsid w:val="00F84942"/>
    <w:rsid w:val="00F95B86"/>
    <w:rsid w:val="00FB28AB"/>
    <w:rsid w:val="00FB2DC5"/>
    <w:rsid w:val="00FC2383"/>
    <w:rsid w:val="00FE52BC"/>
    <w:rsid w:val="00FE76F6"/>
    <w:rsid w:val="00FF3D5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CDEC18"/>
  <w15:chartTrackingRefBased/>
  <w15:docId w15:val="{1CFDE607-653C-44F1-9024-01DA7EC5D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Overskrift1">
    <w:name w:val="heading 1"/>
    <w:basedOn w:val="Normal"/>
    <w:next w:val="Normal"/>
    <w:link w:val="Overskrift1Tegn"/>
    <w:uiPriority w:val="9"/>
    <w:qFormat/>
    <w:rsid w:val="009618E9"/>
    <w:pPr>
      <w:keepNext/>
      <w:keepLines/>
      <w:numPr>
        <w:numId w:val="41"/>
      </w:numPr>
      <w:tabs>
        <w:tab w:val="left" w:pos="426"/>
      </w:tabs>
      <w:spacing w:before="360" w:after="120" w:line="360" w:lineRule="exact"/>
      <w:outlineLvl w:val="0"/>
    </w:pPr>
    <w:rPr>
      <w:rFonts w:asciiTheme="majorHAnsi" w:eastAsiaTheme="majorEastAsia" w:hAnsiTheme="majorHAnsi" w:cstheme="majorBidi"/>
      <w:b/>
      <w:noProof/>
      <w:color w:val="1F497D" w:themeColor="text2"/>
      <w:szCs w:val="32"/>
      <w:lang w:eastAsia="en-US"/>
    </w:rPr>
  </w:style>
  <w:style w:type="paragraph" w:styleId="Overskrift2">
    <w:name w:val="heading 2"/>
    <w:basedOn w:val="Overskrift1"/>
    <w:next w:val="Normal"/>
    <w:link w:val="Overskrift2Tegn"/>
    <w:uiPriority w:val="9"/>
    <w:qFormat/>
    <w:rsid w:val="009618E9"/>
    <w:pPr>
      <w:numPr>
        <w:ilvl w:val="1"/>
      </w:numPr>
      <w:tabs>
        <w:tab w:val="clear" w:pos="426"/>
        <w:tab w:val="left" w:pos="567"/>
      </w:tabs>
      <w:outlineLvl w:val="1"/>
    </w:pPr>
  </w:style>
  <w:style w:type="paragraph" w:styleId="Overskrift3">
    <w:name w:val="heading 3"/>
    <w:basedOn w:val="Normal"/>
    <w:next w:val="Normal"/>
    <w:link w:val="Overskrift3Tegn"/>
    <w:uiPriority w:val="9"/>
    <w:qFormat/>
    <w:rsid w:val="009618E9"/>
    <w:pPr>
      <w:keepNext/>
      <w:keepLines/>
      <w:numPr>
        <w:ilvl w:val="2"/>
        <w:numId w:val="41"/>
      </w:numPr>
      <w:tabs>
        <w:tab w:val="left" w:pos="851"/>
      </w:tabs>
      <w:spacing w:before="240" w:after="120" w:line="480" w:lineRule="exact"/>
      <w:outlineLvl w:val="2"/>
    </w:pPr>
    <w:rPr>
      <w:rFonts w:asciiTheme="majorHAnsi" w:eastAsiaTheme="majorEastAsia" w:hAnsiTheme="majorHAnsi" w:cstheme="majorBidi"/>
      <w:b/>
      <w:noProof/>
      <w:color w:val="1F497D" w:themeColor="text2"/>
      <w:szCs w:val="24"/>
      <w:lang w:eastAsia="en-US"/>
    </w:rPr>
  </w:style>
  <w:style w:type="paragraph" w:styleId="Overskrift4">
    <w:name w:val="heading 4"/>
    <w:basedOn w:val="Normal"/>
    <w:next w:val="Normal"/>
    <w:link w:val="Overskrift4Tegn"/>
    <w:uiPriority w:val="9"/>
    <w:qFormat/>
    <w:rsid w:val="009618E9"/>
    <w:pPr>
      <w:keepNext/>
      <w:keepLines/>
      <w:numPr>
        <w:ilvl w:val="3"/>
        <w:numId w:val="41"/>
      </w:numPr>
      <w:spacing w:after="120" w:line="480" w:lineRule="exact"/>
      <w:outlineLvl w:val="3"/>
    </w:pPr>
    <w:rPr>
      <w:rFonts w:asciiTheme="majorHAnsi" w:eastAsiaTheme="majorEastAsia" w:hAnsiTheme="majorHAnsi" w:cstheme="majorBidi"/>
      <w:b/>
      <w:iCs/>
      <w:noProof/>
      <w:color w:val="1F497D" w:themeColor="text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Personligmeddelelsesform">
    <w:name w:val="Personlig meddelelsesform"/>
    <w:basedOn w:val="Standardskrifttypeiafsnit"/>
    <w:rPr>
      <w:rFonts w:ascii="Arial" w:hAnsi="Arial" w:cs="Arial"/>
      <w:color w:val="auto"/>
      <w:sz w:val="20"/>
    </w:rPr>
  </w:style>
  <w:style w:type="character" w:customStyle="1" w:styleId="Personligsvarlayout">
    <w:name w:val="Personlig svarlayout"/>
    <w:basedOn w:val="Standardskrifttypeiafsnit"/>
    <w:rPr>
      <w:rFonts w:ascii="Arial" w:hAnsi="Arial" w:cs="Arial"/>
      <w:color w:val="auto"/>
      <w:sz w:val="20"/>
    </w:rPr>
  </w:style>
  <w:style w:type="table" w:styleId="Tabel-Gitter">
    <w:name w:val="Table Grid"/>
    <w:basedOn w:val="Tabel-Normal"/>
    <w:uiPriority w:val="59"/>
    <w:rsid w:val="00C21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C21039"/>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21039"/>
    <w:rPr>
      <w:rFonts w:ascii="Segoe UI" w:hAnsi="Segoe UI" w:cs="Segoe UI"/>
      <w:sz w:val="18"/>
      <w:szCs w:val="18"/>
    </w:rPr>
  </w:style>
  <w:style w:type="paragraph" w:styleId="Listeafsnit">
    <w:name w:val="List Paragraph"/>
    <w:basedOn w:val="Normal"/>
    <w:uiPriority w:val="34"/>
    <w:qFormat/>
    <w:rsid w:val="00C21039"/>
    <w:pPr>
      <w:ind w:left="720"/>
      <w:contextualSpacing/>
    </w:pPr>
  </w:style>
  <w:style w:type="paragraph" w:styleId="Sidehoved">
    <w:name w:val="header"/>
    <w:basedOn w:val="Normal"/>
    <w:link w:val="SidehovedTegn"/>
    <w:uiPriority w:val="99"/>
    <w:unhideWhenUsed/>
    <w:rsid w:val="003A0944"/>
    <w:pPr>
      <w:tabs>
        <w:tab w:val="center" w:pos="4819"/>
        <w:tab w:val="right" w:pos="9638"/>
      </w:tabs>
    </w:pPr>
  </w:style>
  <w:style w:type="character" w:customStyle="1" w:styleId="SidehovedTegn">
    <w:name w:val="Sidehoved Tegn"/>
    <w:basedOn w:val="Standardskrifttypeiafsnit"/>
    <w:link w:val="Sidehoved"/>
    <w:uiPriority w:val="99"/>
    <w:rsid w:val="003A0944"/>
    <w:rPr>
      <w:rFonts w:ascii="Arial" w:hAnsi="Arial"/>
      <w:sz w:val="24"/>
    </w:rPr>
  </w:style>
  <w:style w:type="paragraph" w:styleId="Sidefod">
    <w:name w:val="footer"/>
    <w:basedOn w:val="Normal"/>
    <w:link w:val="SidefodTegn"/>
    <w:uiPriority w:val="99"/>
    <w:unhideWhenUsed/>
    <w:rsid w:val="003A0944"/>
    <w:pPr>
      <w:tabs>
        <w:tab w:val="center" w:pos="4819"/>
        <w:tab w:val="right" w:pos="9638"/>
      </w:tabs>
    </w:pPr>
  </w:style>
  <w:style w:type="character" w:customStyle="1" w:styleId="SidefodTegn">
    <w:name w:val="Sidefod Tegn"/>
    <w:basedOn w:val="Standardskrifttypeiafsnit"/>
    <w:link w:val="Sidefod"/>
    <w:uiPriority w:val="99"/>
    <w:rsid w:val="003A0944"/>
    <w:rPr>
      <w:rFonts w:ascii="Arial" w:hAnsi="Arial"/>
      <w:sz w:val="24"/>
    </w:rPr>
  </w:style>
  <w:style w:type="paragraph" w:styleId="Fodnotetekst">
    <w:name w:val="footnote text"/>
    <w:basedOn w:val="Normal"/>
    <w:link w:val="FodnotetekstTegn"/>
    <w:uiPriority w:val="99"/>
    <w:semiHidden/>
    <w:unhideWhenUsed/>
    <w:rsid w:val="00D674D9"/>
    <w:rPr>
      <w:sz w:val="20"/>
    </w:rPr>
  </w:style>
  <w:style w:type="character" w:customStyle="1" w:styleId="FodnotetekstTegn">
    <w:name w:val="Fodnotetekst Tegn"/>
    <w:basedOn w:val="Standardskrifttypeiafsnit"/>
    <w:link w:val="Fodnotetekst"/>
    <w:uiPriority w:val="99"/>
    <w:semiHidden/>
    <w:rsid w:val="00D674D9"/>
    <w:rPr>
      <w:rFonts w:ascii="Arial" w:hAnsi="Arial"/>
    </w:rPr>
  </w:style>
  <w:style w:type="character" w:styleId="Fodnotehenvisning">
    <w:name w:val="footnote reference"/>
    <w:basedOn w:val="Standardskrifttypeiafsnit"/>
    <w:uiPriority w:val="99"/>
    <w:semiHidden/>
    <w:unhideWhenUsed/>
    <w:rsid w:val="00D674D9"/>
    <w:rPr>
      <w:vertAlign w:val="superscript"/>
    </w:rPr>
  </w:style>
  <w:style w:type="character" w:styleId="Hyperlink">
    <w:name w:val="Hyperlink"/>
    <w:basedOn w:val="Standardskrifttypeiafsnit"/>
    <w:uiPriority w:val="99"/>
    <w:unhideWhenUsed/>
    <w:rsid w:val="00BE27B0"/>
    <w:rPr>
      <w:color w:val="0000FF" w:themeColor="hyperlink"/>
      <w:u w:val="single"/>
    </w:rPr>
  </w:style>
  <w:style w:type="character" w:styleId="Ulstomtale">
    <w:name w:val="Unresolved Mention"/>
    <w:basedOn w:val="Standardskrifttypeiafsnit"/>
    <w:uiPriority w:val="99"/>
    <w:semiHidden/>
    <w:unhideWhenUsed/>
    <w:rsid w:val="00BE27B0"/>
    <w:rPr>
      <w:color w:val="605E5C"/>
      <w:shd w:val="clear" w:color="auto" w:fill="E1DFDD"/>
    </w:rPr>
  </w:style>
  <w:style w:type="character" w:styleId="Kommentarhenvisning">
    <w:name w:val="annotation reference"/>
    <w:basedOn w:val="Standardskrifttypeiafsnit"/>
    <w:uiPriority w:val="99"/>
    <w:semiHidden/>
    <w:unhideWhenUsed/>
    <w:rsid w:val="00FF3D5D"/>
    <w:rPr>
      <w:sz w:val="16"/>
      <w:szCs w:val="16"/>
    </w:rPr>
  </w:style>
  <w:style w:type="paragraph" w:styleId="Kommentartekst">
    <w:name w:val="annotation text"/>
    <w:basedOn w:val="Normal"/>
    <w:link w:val="KommentartekstTegn"/>
    <w:uiPriority w:val="99"/>
    <w:semiHidden/>
    <w:unhideWhenUsed/>
    <w:rsid w:val="00FF3D5D"/>
    <w:rPr>
      <w:sz w:val="20"/>
    </w:rPr>
  </w:style>
  <w:style w:type="character" w:customStyle="1" w:styleId="KommentartekstTegn">
    <w:name w:val="Kommentartekst Tegn"/>
    <w:basedOn w:val="Standardskrifttypeiafsnit"/>
    <w:link w:val="Kommentartekst"/>
    <w:uiPriority w:val="99"/>
    <w:semiHidden/>
    <w:rsid w:val="00FF3D5D"/>
    <w:rPr>
      <w:rFonts w:ascii="Arial" w:hAnsi="Arial"/>
    </w:rPr>
  </w:style>
  <w:style w:type="paragraph" w:styleId="Kommentaremne">
    <w:name w:val="annotation subject"/>
    <w:basedOn w:val="Kommentartekst"/>
    <w:next w:val="Kommentartekst"/>
    <w:link w:val="KommentaremneTegn"/>
    <w:uiPriority w:val="99"/>
    <w:semiHidden/>
    <w:unhideWhenUsed/>
    <w:rsid w:val="00FF3D5D"/>
    <w:rPr>
      <w:b/>
      <w:bCs/>
    </w:rPr>
  </w:style>
  <w:style w:type="character" w:customStyle="1" w:styleId="KommentaremneTegn">
    <w:name w:val="Kommentaremne Tegn"/>
    <w:basedOn w:val="KommentartekstTegn"/>
    <w:link w:val="Kommentaremne"/>
    <w:uiPriority w:val="99"/>
    <w:semiHidden/>
    <w:rsid w:val="00FF3D5D"/>
    <w:rPr>
      <w:rFonts w:ascii="Arial" w:hAnsi="Arial"/>
      <w:b/>
      <w:bCs/>
    </w:rPr>
  </w:style>
  <w:style w:type="paragraph" w:styleId="Korrektur">
    <w:name w:val="Revision"/>
    <w:hidden/>
    <w:uiPriority w:val="99"/>
    <w:semiHidden/>
    <w:rsid w:val="00D17D7D"/>
    <w:rPr>
      <w:rFonts w:ascii="Arial" w:hAnsi="Arial"/>
      <w:sz w:val="24"/>
    </w:rPr>
  </w:style>
  <w:style w:type="paragraph" w:customStyle="1" w:styleId="Overskriftiboks">
    <w:name w:val="Overskrift i boks"/>
    <w:basedOn w:val="Normal"/>
    <w:next w:val="Tekstiboks"/>
    <w:qFormat/>
    <w:rsid w:val="000C507C"/>
    <w:pPr>
      <w:spacing w:after="280" w:line="320" w:lineRule="atLeast"/>
    </w:pPr>
    <w:rPr>
      <w:rFonts w:eastAsiaTheme="minorHAnsi" w:cstheme="minorBidi"/>
      <w:b/>
      <w:noProof/>
      <w:color w:val="9BBB59" w:themeColor="accent3"/>
      <w:sz w:val="22"/>
      <w:szCs w:val="22"/>
      <w:lang w:eastAsia="en-US"/>
    </w:rPr>
  </w:style>
  <w:style w:type="paragraph" w:customStyle="1" w:styleId="Tekstiboks">
    <w:name w:val="Tekst i boks"/>
    <w:basedOn w:val="Normal"/>
    <w:qFormat/>
    <w:rsid w:val="000C507C"/>
    <w:pPr>
      <w:spacing w:after="280" w:line="320" w:lineRule="atLeast"/>
    </w:pPr>
    <w:rPr>
      <w:rFonts w:eastAsiaTheme="minorHAnsi" w:cstheme="minorBidi"/>
      <w:noProof/>
      <w:color w:val="FFFFFF" w:themeColor="background1"/>
      <w:sz w:val="22"/>
      <w:szCs w:val="22"/>
      <w:lang w:eastAsia="en-US"/>
    </w:rPr>
  </w:style>
  <w:style w:type="character" w:styleId="BesgtLink">
    <w:name w:val="FollowedHyperlink"/>
    <w:basedOn w:val="Standardskrifttypeiafsnit"/>
    <w:uiPriority w:val="99"/>
    <w:semiHidden/>
    <w:unhideWhenUsed/>
    <w:rsid w:val="00746A94"/>
    <w:rPr>
      <w:color w:val="800080" w:themeColor="followedHyperlink"/>
      <w:u w:val="single"/>
    </w:rPr>
  </w:style>
  <w:style w:type="character" w:customStyle="1" w:styleId="Overskrift1Tegn">
    <w:name w:val="Overskrift 1 Tegn"/>
    <w:basedOn w:val="Standardskrifttypeiafsnit"/>
    <w:link w:val="Overskrift1"/>
    <w:uiPriority w:val="9"/>
    <w:rsid w:val="009618E9"/>
    <w:rPr>
      <w:rFonts w:asciiTheme="majorHAnsi" w:eastAsiaTheme="majorEastAsia" w:hAnsiTheme="majorHAnsi" w:cstheme="majorBidi"/>
      <w:b/>
      <w:noProof/>
      <w:color w:val="1F497D" w:themeColor="text2"/>
      <w:sz w:val="24"/>
      <w:szCs w:val="32"/>
      <w:lang w:eastAsia="en-US"/>
    </w:rPr>
  </w:style>
  <w:style w:type="character" w:customStyle="1" w:styleId="Overskrift2Tegn">
    <w:name w:val="Overskrift 2 Tegn"/>
    <w:basedOn w:val="Standardskrifttypeiafsnit"/>
    <w:link w:val="Overskrift2"/>
    <w:uiPriority w:val="9"/>
    <w:rsid w:val="009618E9"/>
    <w:rPr>
      <w:rFonts w:asciiTheme="majorHAnsi" w:eastAsiaTheme="majorEastAsia" w:hAnsiTheme="majorHAnsi" w:cstheme="majorBidi"/>
      <w:b/>
      <w:noProof/>
      <w:color w:val="1F497D" w:themeColor="text2"/>
      <w:sz w:val="24"/>
      <w:szCs w:val="32"/>
      <w:lang w:eastAsia="en-US"/>
    </w:rPr>
  </w:style>
  <w:style w:type="character" w:customStyle="1" w:styleId="Overskrift3Tegn">
    <w:name w:val="Overskrift 3 Tegn"/>
    <w:basedOn w:val="Standardskrifttypeiafsnit"/>
    <w:link w:val="Overskrift3"/>
    <w:uiPriority w:val="9"/>
    <w:rsid w:val="009618E9"/>
    <w:rPr>
      <w:rFonts w:asciiTheme="majorHAnsi" w:eastAsiaTheme="majorEastAsia" w:hAnsiTheme="majorHAnsi" w:cstheme="majorBidi"/>
      <w:b/>
      <w:noProof/>
      <w:color w:val="1F497D" w:themeColor="text2"/>
      <w:sz w:val="24"/>
      <w:szCs w:val="24"/>
      <w:lang w:eastAsia="en-US"/>
    </w:rPr>
  </w:style>
  <w:style w:type="character" w:customStyle="1" w:styleId="Overskrift4Tegn">
    <w:name w:val="Overskrift 4 Tegn"/>
    <w:basedOn w:val="Standardskrifttypeiafsnit"/>
    <w:link w:val="Overskrift4"/>
    <w:uiPriority w:val="9"/>
    <w:rsid w:val="009618E9"/>
    <w:rPr>
      <w:rFonts w:asciiTheme="majorHAnsi" w:eastAsiaTheme="majorEastAsia" w:hAnsiTheme="majorHAnsi" w:cstheme="majorBidi"/>
      <w:b/>
      <w:iCs/>
      <w:noProof/>
      <w:color w:val="1F497D" w:themeColor="text2"/>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rporategovernance.d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CE1A5B66966E54FA7270CE56A0A8EA3" ma:contentTypeVersion="9" ma:contentTypeDescription="Opret et nyt dokument." ma:contentTypeScope="" ma:versionID="3f6264dfd5de69bde7feef0c729d1f51">
  <xsd:schema xmlns:xsd="http://www.w3.org/2001/XMLSchema" xmlns:xs="http://www.w3.org/2001/XMLSchema" xmlns:p="http://schemas.microsoft.com/office/2006/metadata/properties" xmlns:ns3="67959387-b910-47a5-8301-8f4f5bdf62fb" xmlns:ns4="2d946ae7-885a-4d21-ae44-0b7dc22704af" targetNamespace="http://schemas.microsoft.com/office/2006/metadata/properties" ma:root="true" ma:fieldsID="1ea7e8dfcac64b9055e7cd3957217cc9" ns3:_="" ns4:_="">
    <xsd:import namespace="67959387-b910-47a5-8301-8f4f5bdf62fb"/>
    <xsd:import namespace="2d946ae7-885a-4d21-ae44-0b7dc22704af"/>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59387-b910-47a5-8301-8f4f5bdf6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946ae7-885a-4d21-ae44-0b7dc22704af"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element name="SharingHintHash" ma:index="16"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B2E46-3C9F-4DA6-9228-1CCDA13B86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06141A-2A92-4C44-B745-97402B938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59387-b910-47a5-8301-8f4f5bdf62fb"/>
    <ds:schemaRef ds:uri="2d946ae7-885a-4d21-ae44-0b7dc22704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83989A-A2FC-4193-9AB9-5C8BD58C5210}">
  <ds:schemaRefs>
    <ds:schemaRef ds:uri="http://schemas.microsoft.com/sharepoint/v3/contenttype/forms"/>
  </ds:schemaRefs>
</ds:datastoreItem>
</file>

<file path=customXml/itemProps4.xml><?xml version="1.0" encoding="utf-8"?>
<ds:datastoreItem xmlns:ds="http://schemas.openxmlformats.org/officeDocument/2006/customXml" ds:itemID="{67140B86-D175-481D-8801-1F8EFE159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18</Pages>
  <Words>3332</Words>
  <Characters>20329</Characters>
  <Application>Microsoft Office Word</Application>
  <DocSecurity>0</DocSecurity>
  <Lines>169</Lines>
  <Paragraphs>47</Paragraphs>
  <ScaleCrop>false</ScaleCrop>
  <HeadingPairs>
    <vt:vector size="2" baseType="variant">
      <vt:variant>
        <vt:lpstr>Titel</vt:lpstr>
      </vt:variant>
      <vt:variant>
        <vt:i4>1</vt:i4>
      </vt:variant>
    </vt:vector>
  </HeadingPairs>
  <TitlesOfParts>
    <vt:vector size="1" baseType="lpstr">
      <vt:lpstr>Udkast til nyt rapporteringsskema</vt:lpstr>
    </vt:vector>
  </TitlesOfParts>
  <Company/>
  <LinksUpToDate>false</LinksUpToDate>
  <CharactersWithSpaces>23614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Udkast til nyt rapporteringsskema</dc:title>
  <dc:subject/>
  <dc:creator>Casper Quvang Hansen</dc:creator>
  <cp:keywords/>
  <dc:description/>
  <cp:lastModifiedBy>Lene Holst Nielsen</cp:lastModifiedBy>
  <cp:revision>14</cp:revision>
  <dcterms:created xsi:type="dcterms:W3CDTF">2020-11-17T11:00:00Z</dcterms:created>
  <dcterms:modified xsi:type="dcterms:W3CDTF">2020-12-02T14:05:00Z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0x0101001CE1A5B66966E54FA7270CE56A0A8EA3</vt:lpwstr>
  </property>
</Properties>
</file>